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adjustRightInd w:val="0"/>
        <w:snapToGrid w:val="0"/>
        <w:spacing w:before="0" w:beforeLines="0" w:after="0" w:afterLines="0" w:line="560" w:lineRule="exact"/>
        <w:ind w:right="0"/>
        <w:jc w:val="both"/>
        <w:textAlignment w:val="auto"/>
        <w:outlineLvl w:val="9"/>
        <w:rPr>
          <w:rFonts w:hint="eastAsia" w:ascii="仿宋_GB2312" w:hAnsi="仿宋_GB2312" w:eastAsia="仿宋_GB2312" w:cs="仿宋_GB2312"/>
          <w:b/>
          <w:bCs w:val="0"/>
          <w:snapToGrid w:val="0"/>
          <w:color w:val="auto"/>
          <w:kern w:val="0"/>
          <w:sz w:val="32"/>
          <w:szCs w:val="32"/>
          <w:lang w:val="en-US" w:eastAsia="zh-CN"/>
        </w:rPr>
      </w:pPr>
      <w:bookmarkStart w:id="0" w:name="_GoBack"/>
      <w:r>
        <w:rPr>
          <w:rFonts w:hint="eastAsia" w:ascii="仿宋_GB2312" w:hAnsi="仿宋_GB2312" w:cs="仿宋_GB2312"/>
          <w:b/>
          <w:bCs w:val="0"/>
          <w:snapToGrid w:val="0"/>
          <w:color w:val="auto"/>
          <w:kern w:val="0"/>
          <w:sz w:val="32"/>
          <w:szCs w:val="32"/>
          <w:lang w:val="en-US" w:eastAsia="zh-CN"/>
        </w:rPr>
        <w:t xml:space="preserve">附表        </w:t>
      </w:r>
      <w:r>
        <w:rPr>
          <w:rFonts w:hint="eastAsia" w:ascii="仿宋_GB2312" w:hAnsi="仿宋_GB2312" w:eastAsia="仿宋_GB2312" w:cs="仿宋_GB2312"/>
          <w:b/>
          <w:bCs w:val="0"/>
          <w:snapToGrid w:val="0"/>
          <w:color w:val="auto"/>
          <w:kern w:val="0"/>
          <w:sz w:val="32"/>
          <w:szCs w:val="32"/>
          <w:lang w:val="en-US" w:eastAsia="zh-CN"/>
        </w:rPr>
        <w:t>《惠州市“三线一单”生态环境分区管控方案（征求意见稿）》征求意见</w:t>
      </w:r>
    </w:p>
    <w:p>
      <w:pPr>
        <w:pStyle w:val="6"/>
        <w:widowControl w:val="0"/>
        <w:adjustRightInd w:val="0"/>
        <w:snapToGrid w:val="0"/>
        <w:spacing w:before="0" w:beforeLines="0" w:after="0" w:afterLines="0" w:line="560" w:lineRule="exact"/>
        <w:ind w:right="0"/>
        <w:jc w:val="center"/>
        <w:textAlignment w:val="auto"/>
        <w:outlineLvl w:val="9"/>
        <w:rPr>
          <w:rFonts w:hint="eastAsia" w:ascii="仿宋_GB2312" w:hAnsi="仿宋_GB2312" w:cs="仿宋_GB2312"/>
          <w:b/>
          <w:bCs w:val="0"/>
          <w:snapToGrid w:val="0"/>
          <w:color w:val="auto"/>
          <w:kern w:val="0"/>
          <w:sz w:val="32"/>
          <w:szCs w:val="32"/>
          <w:lang w:val="en-US" w:eastAsia="zh-CN"/>
        </w:rPr>
      </w:pPr>
      <w:r>
        <w:rPr>
          <w:rFonts w:hint="eastAsia" w:ascii="仿宋_GB2312" w:hAnsi="仿宋_GB2312" w:eastAsia="仿宋_GB2312" w:cs="仿宋_GB2312"/>
          <w:b/>
          <w:bCs w:val="0"/>
          <w:snapToGrid w:val="0"/>
          <w:color w:val="auto"/>
          <w:kern w:val="0"/>
          <w:sz w:val="32"/>
          <w:szCs w:val="32"/>
          <w:lang w:val="en-US" w:eastAsia="zh-CN"/>
        </w:rPr>
        <w:t>反馈意见</w:t>
      </w:r>
      <w:r>
        <w:rPr>
          <w:rFonts w:hint="eastAsia" w:ascii="仿宋_GB2312" w:hAnsi="仿宋_GB2312" w:cs="仿宋_GB2312"/>
          <w:b/>
          <w:bCs w:val="0"/>
          <w:snapToGrid w:val="0"/>
          <w:color w:val="auto"/>
          <w:kern w:val="0"/>
          <w:sz w:val="32"/>
          <w:szCs w:val="32"/>
          <w:lang w:val="en-US" w:eastAsia="zh-CN"/>
        </w:rPr>
        <w:t>及采纳情况表</w:t>
      </w:r>
    </w:p>
    <w:bookmarkEnd w:id="0"/>
    <w:p>
      <w:pPr>
        <w:pStyle w:val="6"/>
        <w:widowControl w:val="0"/>
        <w:adjustRightInd w:val="0"/>
        <w:snapToGrid w:val="0"/>
        <w:spacing w:before="0" w:beforeLines="0" w:after="0" w:afterLines="0" w:line="560" w:lineRule="exact"/>
        <w:ind w:right="0"/>
        <w:jc w:val="center"/>
        <w:textAlignment w:val="auto"/>
        <w:outlineLvl w:val="9"/>
        <w:rPr>
          <w:rFonts w:hint="eastAsia" w:ascii="仿宋_GB2312" w:hAnsi="仿宋_GB2312" w:cs="仿宋_GB2312"/>
          <w:b/>
          <w:bCs w:val="0"/>
          <w:snapToGrid w:val="0"/>
          <w:color w:val="auto"/>
          <w:kern w:val="0"/>
          <w:sz w:val="30"/>
          <w:szCs w:val="30"/>
          <w:lang w:val="en-US" w:eastAsia="zh-CN"/>
        </w:rPr>
      </w:pPr>
    </w:p>
    <w:tbl>
      <w:tblPr>
        <w:tblStyle w:val="4"/>
        <w:tblW w:w="1488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766"/>
        <w:gridCol w:w="1143"/>
        <w:gridCol w:w="6895"/>
        <w:gridCol w:w="2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序号</w:t>
            </w:r>
          </w:p>
        </w:tc>
        <w:tc>
          <w:tcPr>
            <w:tcW w:w="3766"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反馈意见</w:t>
            </w:r>
          </w:p>
        </w:tc>
        <w:tc>
          <w:tcPr>
            <w:tcW w:w="1143"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eastAsia"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是否</w:t>
            </w:r>
          </w:p>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采纳</w:t>
            </w:r>
          </w:p>
        </w:tc>
        <w:tc>
          <w:tcPr>
            <w:tcW w:w="6895"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相关情况说明</w:t>
            </w:r>
          </w:p>
        </w:tc>
        <w:tc>
          <w:tcPr>
            <w:tcW w:w="2385"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bCs w:val="0"/>
                <w:snapToGrid w:val="0"/>
                <w:color w:val="auto"/>
                <w:kern w:val="0"/>
                <w:sz w:val="24"/>
                <w:szCs w:val="24"/>
                <w:vertAlign w:val="baseline"/>
                <w:lang w:val="en-US" w:eastAsia="zh-CN"/>
              </w:rPr>
            </w:pPr>
            <w:r>
              <w:rPr>
                <w:rFonts w:hint="eastAsia" w:ascii="仿宋_GB2312" w:hAnsi="仿宋_GB2312" w:cs="仿宋_GB2312"/>
                <w:b/>
                <w:bCs w:val="0"/>
                <w:snapToGrid w:val="0"/>
                <w:color w:val="auto"/>
                <w:kern w:val="0"/>
                <w:sz w:val="24"/>
                <w:szCs w:val="24"/>
                <w:vertAlign w:val="baseline"/>
                <w:lang w:val="en-US" w:eastAsia="zh-CN"/>
              </w:rPr>
              <w:t>反馈意见来源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1</w:t>
            </w:r>
          </w:p>
        </w:tc>
        <w:tc>
          <w:tcPr>
            <w:tcW w:w="3766" w:type="dxa"/>
            <w:vAlign w:val="center"/>
          </w:tcPr>
          <w:p>
            <w:pPr>
              <w:pStyle w:val="6"/>
              <w:widowControl w:val="0"/>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（1）惠州市“三线一单”和原来的饮用水源保护区，海洋功能区划，森林公园规划，是一致的吗？</w:t>
            </w:r>
          </w:p>
          <w:p>
            <w:pPr>
              <w:pStyle w:val="6"/>
              <w:widowControl w:val="0"/>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2）说是一条红线管到底，但是“三线一单”的方案文件没说怎么和以前执行的各类规划怎么替代，或者兼容。我们做环保咨询服务的时候，感觉很为难，政策之间打架的事情太多了，给项目建设单位增加了政策负担。</w:t>
            </w:r>
          </w:p>
          <w:p>
            <w:pPr>
              <w:pStyle w:val="6"/>
              <w:widowControl w:val="0"/>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（3）另外“三线一单”的图能不能向公众公开，搞个类似百度地图的app或才网页，这样也便于建设项目合理选择建设地址。</w:t>
            </w:r>
          </w:p>
        </w:tc>
        <w:tc>
          <w:tcPr>
            <w:tcW w:w="1143"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（1）、（2）采纳；（3）非本级权限</w:t>
            </w:r>
          </w:p>
        </w:tc>
        <w:tc>
          <w:tcPr>
            <w:tcW w:w="6895" w:type="dxa"/>
            <w:vAlign w:val="center"/>
          </w:tcPr>
          <w:p>
            <w:pPr>
              <w:pStyle w:val="6"/>
              <w:widowControl w:val="0"/>
              <w:numPr>
                <w:ilvl w:val="0"/>
                <w:numId w:val="1"/>
              </w:numPr>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三线一单”采用的饮用水源保护区、海洋功能区划、森林公园分区等数据，与相关规划的成果是一致的；部分仍在调整的区划（如自然保护地）采用的是最新成果，根据“三线一单”动态调整机制，此类区划正式发布后“三线一单”中的相关成果会相应更新。</w:t>
            </w:r>
          </w:p>
          <w:p>
            <w:pPr>
              <w:pStyle w:val="6"/>
              <w:widowControl w:val="0"/>
              <w:numPr>
                <w:ilvl w:val="0"/>
                <w:numId w:val="1"/>
              </w:numPr>
              <w:adjustRightInd w:val="0"/>
              <w:snapToGrid w:val="0"/>
              <w:spacing w:before="0" w:beforeLines="0" w:after="0" w:afterLines="0" w:line="360" w:lineRule="auto"/>
              <w:ind w:left="0" w:leftChars="0" w:right="0" w:firstLine="0" w:firstLineChars="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三线一单”是一项综合性的工作，其本身并未对区域生态环境准入提出额外的要求，而是将以往分散在各个职能部门、与生态环境保护相关的管控要求梳理整合并形成体系，从而更系统地实施区域生态环境管控，故不会给项目建设单位增加新的政策负担。</w:t>
            </w:r>
          </w:p>
          <w:p>
            <w:pPr>
              <w:pStyle w:val="6"/>
              <w:widowControl w:val="0"/>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3）“三线一单”图件成果是否公开仍需等待省主管部门确认。根据工作部署，广东省正在搭建全省“三线一单”应用平台，各市的成果都会录入其中，该系统会给每个地市分配账号，届时可实现意见中提及的查询功能。</w:t>
            </w:r>
          </w:p>
        </w:tc>
        <w:tc>
          <w:tcPr>
            <w:tcW w:w="2385"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Scott xie &lt;378270094@qq.com&gt;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2</w:t>
            </w:r>
          </w:p>
        </w:tc>
        <w:tc>
          <w:tcPr>
            <w:tcW w:w="3766"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建议明确《方案》中（三）污染物排放管控要求中P17重点重金属指哪些重金属。</w:t>
            </w:r>
          </w:p>
        </w:tc>
        <w:tc>
          <w:tcPr>
            <w:tcW w:w="1143"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不采纳</w:t>
            </w:r>
          </w:p>
        </w:tc>
        <w:tc>
          <w:tcPr>
            <w:tcW w:w="6895" w:type="dxa"/>
            <w:vAlign w:val="center"/>
          </w:tcPr>
          <w:p>
            <w:pPr>
              <w:pStyle w:val="6"/>
              <w:widowControl w:val="0"/>
              <w:adjustRightInd w:val="0"/>
              <w:snapToGrid w:val="0"/>
              <w:spacing w:before="0" w:beforeLines="0" w:after="0" w:afterLines="0" w:line="360" w:lineRule="auto"/>
              <w:ind w:right="0" w:rightChars="0"/>
              <w:jc w:val="left"/>
              <w:textAlignment w:val="auto"/>
              <w:outlineLvl w:val="9"/>
              <w:rPr>
                <w:rFonts w:hint="eastAsia" w:ascii="仿宋_GB2312" w:hAnsi="仿宋_GB2312" w:eastAsia="仿宋_GB2312" w:cs="仿宋_GB2312"/>
                <w:b w:val="0"/>
                <w:bCs/>
                <w:snapToGrid w:val="0"/>
                <w:color w:val="auto"/>
                <w:kern w:val="0"/>
                <w:sz w:val="24"/>
                <w:szCs w:val="24"/>
                <w:vertAlign w:val="baseline"/>
                <w:lang w:val="en-US" w:eastAsia="zh-CN" w:bidi="ar-SA"/>
              </w:rPr>
            </w:pPr>
            <w:r>
              <w:rPr>
                <w:rFonts w:hint="eastAsia" w:ascii="仿宋_GB2312" w:hAnsi="仿宋_GB2312" w:cs="仿宋_GB2312"/>
                <w:b w:val="0"/>
                <w:bCs/>
                <w:snapToGrid w:val="0"/>
                <w:color w:val="auto"/>
                <w:kern w:val="0"/>
                <w:sz w:val="24"/>
                <w:szCs w:val="24"/>
                <w:vertAlign w:val="baseline"/>
                <w:lang w:val="en-US" w:eastAsia="zh-CN"/>
              </w:rPr>
              <w:t>相关表述已根据《广东省环境保护条例》、《广东省重金属污染防治“十三五”规划》等文件修改，删除了“重点重金属”的表述</w:t>
            </w:r>
          </w:p>
        </w:tc>
        <w:tc>
          <w:tcPr>
            <w:tcW w:w="2385"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Hu-at027&lt;huyunfei027@qq.com&gt;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3</w:t>
            </w:r>
          </w:p>
        </w:tc>
        <w:tc>
          <w:tcPr>
            <w:tcW w:w="3766"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建议明确优先保护单元具体开展哪些人类活动。</w:t>
            </w:r>
          </w:p>
        </w:tc>
        <w:tc>
          <w:tcPr>
            <w:tcW w:w="1143"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部分</w:t>
            </w:r>
          </w:p>
          <w:p>
            <w:pPr>
              <w:pStyle w:val="6"/>
              <w:widowControl w:val="0"/>
              <w:adjustRightInd w:val="0"/>
              <w:snapToGrid w:val="0"/>
              <w:spacing w:before="0" w:beforeLines="0" w:after="0" w:afterLines="0" w:line="360" w:lineRule="auto"/>
              <w:ind w:right="0"/>
              <w:jc w:val="center"/>
              <w:textAlignment w:val="auto"/>
              <w:outlineLvl w:val="9"/>
              <w:rPr>
                <w:rFonts w:hint="default"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采纳</w:t>
            </w:r>
          </w:p>
        </w:tc>
        <w:tc>
          <w:tcPr>
            <w:tcW w:w="6895" w:type="dxa"/>
            <w:vAlign w:val="center"/>
          </w:tcPr>
          <w:p>
            <w:pPr>
              <w:pStyle w:val="6"/>
              <w:widowControl w:val="0"/>
              <w:adjustRightInd w:val="0"/>
              <w:snapToGrid w:val="0"/>
              <w:spacing w:before="0" w:beforeLines="0" w:after="0" w:afterLines="0" w:line="360" w:lineRule="auto"/>
              <w:ind w:right="0"/>
              <w:jc w:val="left"/>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惠州市“三线一单”生态环境分区管控方案》划定了20个陆域优先保护单元、10个海域优先保护单元，陆域优先保护单元主要涵盖生态保护红线、一般生态空间、饮用水源保护区、环境空气质量一类功能区等区域，海域优先保护单元主要为海洋生态保护红线，各优先保护单元因保护要素不同，其允许开展的人类活动也不同。《惠州市“三线一单”生态环境分区管控方案》中对所有类型管控单元（含优先保护单元）均提出了个性化的环境准入清单，通过明确禁止和限制类的管控要求来引导区域发展，而各单元的管控清单上也已根据单元实际情况列出了鼓励发展的行业产业，对于不在禁止和限制类名单上的项目，若符合相关法律法规和环保要求，即可按规定流程推进。</w:t>
            </w:r>
          </w:p>
        </w:tc>
        <w:tc>
          <w:tcPr>
            <w:tcW w:w="2385" w:type="dxa"/>
            <w:vAlign w:val="center"/>
          </w:tcPr>
          <w:p>
            <w:pPr>
              <w:pStyle w:val="6"/>
              <w:widowControl w:val="0"/>
              <w:adjustRightInd w:val="0"/>
              <w:snapToGrid w:val="0"/>
              <w:spacing w:before="0" w:beforeLines="0" w:after="0" w:afterLines="0" w:line="360" w:lineRule="auto"/>
              <w:ind w:right="0"/>
              <w:jc w:val="center"/>
              <w:textAlignment w:val="auto"/>
              <w:outlineLvl w:val="9"/>
              <w:rPr>
                <w:rFonts w:hint="eastAsia" w:ascii="仿宋_GB2312" w:hAnsi="仿宋_GB2312" w:cs="仿宋_GB2312"/>
                <w:b w:val="0"/>
                <w:bCs/>
                <w:snapToGrid w:val="0"/>
                <w:color w:val="auto"/>
                <w:kern w:val="0"/>
                <w:sz w:val="24"/>
                <w:szCs w:val="24"/>
                <w:vertAlign w:val="baseline"/>
                <w:lang w:val="en-US" w:eastAsia="zh-CN"/>
              </w:rPr>
            </w:pPr>
            <w:r>
              <w:rPr>
                <w:rFonts w:hint="eastAsia" w:ascii="仿宋_GB2312" w:hAnsi="仿宋_GB2312" w:cs="仿宋_GB2312"/>
                <w:b w:val="0"/>
                <w:bCs/>
                <w:snapToGrid w:val="0"/>
                <w:color w:val="auto"/>
                <w:kern w:val="0"/>
                <w:sz w:val="24"/>
                <w:szCs w:val="24"/>
                <w:vertAlign w:val="baseline"/>
                <w:lang w:val="en-US" w:eastAsia="zh-CN"/>
              </w:rPr>
              <w:t>Hu-at027&lt;huyunfei027@qq.com&gt;</w:t>
            </w:r>
          </w:p>
        </w:tc>
      </w:tr>
    </w:tbl>
    <w:p>
      <w:pPr>
        <w:pStyle w:val="6"/>
        <w:widowControl w:val="0"/>
        <w:adjustRightInd w:val="0"/>
        <w:snapToGrid w:val="0"/>
        <w:spacing w:before="0" w:beforeLines="0" w:after="0" w:afterLines="0" w:line="560" w:lineRule="exact"/>
        <w:ind w:right="0"/>
        <w:jc w:val="center"/>
        <w:textAlignment w:val="auto"/>
        <w:outlineLvl w:val="9"/>
        <w:rPr>
          <w:rFonts w:hint="eastAsia" w:ascii="仿宋_GB2312" w:hAnsi="仿宋_GB2312" w:cs="仿宋_GB2312"/>
          <w:b/>
          <w:bCs w:val="0"/>
          <w:snapToGrid w:val="0"/>
          <w:color w:val="auto"/>
          <w:kern w:val="0"/>
          <w:sz w:val="30"/>
          <w:szCs w:val="30"/>
          <w:lang w:val="en-US" w:eastAsia="zh-CN"/>
        </w:rPr>
      </w:pPr>
    </w:p>
    <w:sectPr>
      <w:headerReference r:id="rId3" w:type="default"/>
      <w:footerReference r:id="rId4" w:type="default"/>
      <w:pgSz w:w="16838" w:h="11906" w:orient="landscape"/>
      <w:pgMar w:top="1417" w:right="1440" w:bottom="1800" w:left="1440" w:header="851" w:footer="992" w:gutter="0"/>
      <w:pgBorders>
        <w:top w:val="none" w:sz="0" w:space="0"/>
        <w:left w:val="none" w:sz="0" w:space="0"/>
        <w:bottom w:val="none" w:sz="0" w:space="0"/>
        <w:right w:val="none" w:sz="0" w:space="0"/>
      </w:pgBorders>
      <w:pgNumType w:fmt="numberInDash"/>
      <w:cols w:space="720" w:num="1"/>
      <w:docGrid w:type="lines" w:linePitch="312" w:charSpace="-2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imes New Roman" w:hAnsi="Times New Roman" w:eastAsia="仿宋_GB2312"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57150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8"/>
                            <w:rPr>
                              <w:rStyle w:val="9"/>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4.5pt;height:10.35pt;width:9.05pt;mso-position-horizontal:center;mso-position-horizontal-relative:margin;mso-wrap-style:none;z-index:251659264;mso-width-relative:page;mso-height-relative:page;" filled="f" stroked="f" coordsize="21600,21600" o:gfxdata="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XiGl/RAAAABAEAAA8AAAAAAAAAAQAgAAAAIgAAAGRycy9kb3du&#10;cmV2LnhtbFBLAQIUABQAAAAIAIdO4kCUGtVnzQEAAJcDAAAOAAAAAAAAAAEAIAAAACABAABkcnMv&#10;ZTJvRG9jLnhtbFBLBQYAAAAABgAGAFkBAABfBQAAAAA=&#10;">
              <v:fill on="f" focussize="0,0"/>
              <v:stroke on="f"/>
              <v:imagedata o:title=""/>
              <o:lock v:ext="edit" aspectratio="f"/>
              <v:textbox inset="0mm,0mm,0mm,0mm" style="mso-fit-shape-to-text:t;">
                <w:txbxContent>
                  <w:p>
                    <w:pPr>
                      <w:pStyle w:val="8"/>
                      <w:rPr>
                        <w:rStyle w:val="9"/>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55630B"/>
    <w:multiLevelType w:val="singleLevel"/>
    <w:tmpl w:val="975563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2775DA"/>
    <w:rsid w:val="09B72BD1"/>
    <w:rsid w:val="0B510EA3"/>
    <w:rsid w:val="0E3A2C53"/>
    <w:rsid w:val="10CA668D"/>
    <w:rsid w:val="1B52011A"/>
    <w:rsid w:val="1C487015"/>
    <w:rsid w:val="1F042DDF"/>
    <w:rsid w:val="397C36F4"/>
    <w:rsid w:val="41010049"/>
    <w:rsid w:val="446D7F85"/>
    <w:rsid w:val="4EBC520F"/>
    <w:rsid w:val="672775DA"/>
    <w:rsid w:val="6A375824"/>
    <w:rsid w:val="6A587D56"/>
    <w:rsid w:val="6A5C4EDD"/>
    <w:rsid w:val="7DF9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New"/>
    <w:qFormat/>
    <w:uiPriority w:val="0"/>
    <w:pPr>
      <w:widowControl w:val="0"/>
      <w:jc w:val="both"/>
    </w:pPr>
    <w:rPr>
      <w:rFonts w:ascii="Times New Roman" w:hAnsi="Times New Roman" w:eastAsia="仿宋_GB2312" w:cstheme="minorBidi"/>
      <w:kern w:val="2"/>
      <w:sz w:val="32"/>
      <w:szCs w:val="24"/>
      <w:lang w:val="en-US" w:eastAsia="zh-CN" w:bidi="ar-SA"/>
    </w:rPr>
  </w:style>
  <w:style w:type="paragraph" w:customStyle="1" w:styleId="7">
    <w:name w:val="页眉 New"/>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heme="minorBidi"/>
      <w:kern w:val="2"/>
      <w:sz w:val="18"/>
      <w:szCs w:val="18"/>
      <w:lang w:val="en-US" w:eastAsia="zh-CN" w:bidi="ar-SA"/>
    </w:rPr>
  </w:style>
  <w:style w:type="paragraph" w:customStyle="1" w:styleId="8">
    <w:name w:val="页脚 New"/>
    <w:qFormat/>
    <w:uiPriority w:val="0"/>
    <w:pPr>
      <w:widowControl w:val="0"/>
      <w:tabs>
        <w:tab w:val="center" w:pos="4153"/>
        <w:tab w:val="right" w:pos="8306"/>
      </w:tabs>
      <w:snapToGrid w:val="0"/>
      <w:jc w:val="left"/>
    </w:pPr>
    <w:rPr>
      <w:rFonts w:ascii="Times New Roman" w:hAnsi="Times New Roman" w:eastAsia="仿宋_GB2312" w:cstheme="minorBidi"/>
      <w:kern w:val="2"/>
      <w:sz w:val="18"/>
      <w:szCs w:val="18"/>
      <w:lang w:val="en-US" w:eastAsia="zh-CN" w:bidi="ar-SA"/>
    </w:rPr>
  </w:style>
  <w:style w:type="character" w:customStyle="1" w:styleId="9">
    <w:name w:val="页码 New"/>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市生态环境局</Company>
  <Pages>1</Pages>
  <Words>0</Words>
  <Characters>0</Characters>
  <Lines>0</Lines>
  <Paragraphs>0</Paragraphs>
  <TotalTime>12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2021-04-30T01:54:00Z</dcterms:created>
  <dc:creator>黄先玉</dc:creator>
  <cp:lastModifiedBy>LSQ</cp:lastModifiedBy>
  <cp:lastPrinted>2021-05-31T01:37:00Z</cp:lastPrinted>
  <dcterms:modified xsi:type="dcterms:W3CDTF">2021-05-31T09:02:14Z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938A853F07064253BC93F6D853BE610A</vt:lpwstr>
  </property>
</Properties>
</file>