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2022年中国环博会深圳展</w:t>
      </w:r>
    </w:p>
    <w:p>
      <w:pPr>
        <w:spacing w:line="460" w:lineRule="exact"/>
        <w:jc w:val="center"/>
        <w:rPr>
          <w:rFonts w:hint="eastAsia" w:ascii="黑体" w:hAnsi="仿宋_GB2312" w:eastAsia="黑体"/>
          <w:b/>
          <w:sz w:val="44"/>
          <w:szCs w:val="44"/>
        </w:rPr>
      </w:pPr>
      <w:r>
        <w:rPr>
          <w:rFonts w:hint="eastAsia" w:ascii="黑体" w:hAnsi="仿宋_GB2312" w:eastAsia="黑体"/>
          <w:b/>
          <w:sz w:val="44"/>
          <w:szCs w:val="44"/>
        </w:rPr>
        <w:t>参展申请表</w:t>
      </w:r>
    </w:p>
    <w:bookmarkEnd w:id="0"/>
    <w:tbl>
      <w:tblPr>
        <w:tblStyle w:val="6"/>
        <w:tblW w:w="10462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04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展览时间：20</w:t>
            </w: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2年9月</w:t>
            </w:r>
            <w:r>
              <w:rPr>
                <w:rFonts w:ascii="仿宋_GB2312" w:hAnsi="仿宋_GB2312" w:eastAsia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/>
                <w:sz w:val="24"/>
              </w:rPr>
              <w:t>4～</w:t>
            </w:r>
            <w:r>
              <w:rPr>
                <w:rFonts w:ascii="仿宋_GB2312" w:hAnsi="仿宋_GB2312" w:eastAsia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/>
                <w:sz w:val="24"/>
              </w:rPr>
              <w:t>6日</w:t>
            </w:r>
          </w:p>
          <w:p>
            <w:pPr>
              <w:spacing w:line="360" w:lineRule="auto"/>
              <w:ind w:firstLine="120" w:firstLineChars="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展览地点：广东省深圳市宝安区福海街道展城路1号深圳国际会展中心（宝安新馆）</w:t>
            </w:r>
          </w:p>
          <w:p>
            <w:pPr>
              <w:spacing w:line="360" w:lineRule="auto"/>
              <w:ind w:firstLine="117" w:firstLineChars="49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此信息将被用于展位楣板及刊登在展览会会刊中，请认真填写！</w:t>
            </w:r>
            <w:r>
              <w:rPr>
                <w:rFonts w:ascii="仿宋_GB2312" w:hAnsi="仿宋_GB2312" w:eastAsia="仿宋_GB2312"/>
                <w:b/>
                <w:sz w:val="24"/>
              </w:rPr>
              <w:t>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4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公司中文名：</w:t>
            </w:r>
            <w:r>
              <w:rPr>
                <w:rFonts w:hint="eastAsia" w:ascii="仿宋_GB2312" w:hAnsi="仿宋_GB2312" w:eastAsia="仿宋_GB2312"/>
                <w:b/>
                <w:sz w:val="24"/>
                <w:u w:val="single"/>
              </w:rPr>
              <w:t xml:space="preserve">　　　　　　　　　　　　　　　　　　　　　　　　　　　　　　　        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公司英文名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　　　　　　　　　　　　　　　　　　　　　　　　　　　　　　        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中文地址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　　　　　　　　　　　　　　　　　　　　　　　　　　　　　　　        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邮政编码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>　　　　　　　　　　　　</w:t>
            </w:r>
            <w:r>
              <w:rPr>
                <w:rFonts w:hint="eastAsia" w:ascii="仿宋_GB2312" w:hAnsi="仿宋_GB2312" w:eastAsia="仿宋_GB2312"/>
                <w:sz w:val="24"/>
              </w:rPr>
              <w:t>　　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公司类型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　　　　　　　　　　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        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电话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>　　　　　　　　　　　　　　</w:t>
            </w:r>
            <w:r>
              <w:rPr>
                <w:rFonts w:hint="eastAsia" w:ascii="仿宋_GB2312" w:hAnsi="仿宋_GB2312" w:eastAsia="仿宋_GB2312"/>
                <w:sz w:val="24"/>
              </w:rPr>
              <w:t>　　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传真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　　　　　　　　　　　　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        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联系人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　　 　　 　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职务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>　　　　　 　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　  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手机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　             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邮箱</w:t>
            </w:r>
            <w:r>
              <w:rPr>
                <w:rFonts w:hint="eastAsia" w:ascii="仿宋_GB2312" w:hAnsi="仿宋_GB2312" w:eastAsia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>　　　　　　　　 　　　　　</w:t>
            </w:r>
            <w:r>
              <w:rPr>
                <w:rFonts w:hint="eastAsia" w:ascii="仿宋_GB2312" w:hAnsi="仿宋_GB2312" w:eastAsia="仿宋_GB2312"/>
                <w:sz w:val="24"/>
              </w:rPr>
              <w:t>　　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网址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　　　　　　　　　　　　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  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公司性质</w:t>
            </w:r>
            <w:r>
              <w:rPr>
                <w:rFonts w:hint="eastAsia" w:ascii="仿宋_GB2312" w:hAnsi="仿宋_GB2312" w:eastAsia="仿宋_GB2312"/>
                <w:sz w:val="24"/>
              </w:rPr>
              <w:t>：□制造商　□经销商　□批发商　□零售商 □代理商　□进出口商　□其他</w:t>
            </w:r>
          </w:p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是否广东省环境保护产业协会会员  </w:t>
            </w:r>
            <w:r>
              <w:rPr>
                <w:rFonts w:hint="eastAsia" w:ascii="仿宋_GB2312" w:hAns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</w:rPr>
              <w:t>是  □否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主要产品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　　　　　　　　　　　　　　　　　　　　　　　　　　　　　　　  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　　　　　　　　　　　　　　　　　　　　　　　　　　　　　　　　　　　　　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4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光地展位价格：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</w:rPr>
              <w:t xml:space="preserve">A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区：</w:t>
            </w:r>
            <w:r>
              <w:rPr>
                <w:rFonts w:ascii="仿宋_GB2312" w:hAnsi="仿宋_GB2312" w:eastAsia="仿宋_GB2312"/>
                <w:sz w:val="24"/>
              </w:rPr>
              <w:t>2050</w:t>
            </w:r>
            <w:r>
              <w:rPr>
                <w:rFonts w:hint="eastAsia" w:ascii="仿宋_GB2312" w:hAnsi="仿宋_GB2312" w:eastAsia="仿宋_GB2312"/>
                <w:sz w:val="24"/>
              </w:rPr>
              <w:t>元</w:t>
            </w:r>
            <w:r>
              <w:rPr>
                <w:rFonts w:ascii="仿宋_GB2312" w:hAnsi="仿宋_GB2312"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（面积</w:t>
            </w:r>
            <w:r>
              <w:rPr>
                <w:rFonts w:hint="eastAsia" w:ascii="宋体" w:hAnsi="宋体"/>
                <w:sz w:val="24"/>
              </w:rPr>
              <w:t>＜</w:t>
            </w:r>
            <w:r>
              <w:rPr>
                <w:rFonts w:hint="eastAsia" w:ascii="仿宋_GB2312" w:hAnsi="仿宋_GB2312" w:eastAsia="仿宋_GB2312"/>
                <w:sz w:val="24"/>
              </w:rPr>
              <w:t>36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）           </w:t>
            </w:r>
            <w:r>
              <w:rPr>
                <w:rFonts w:ascii="仿宋_GB2312" w:hAnsi="仿宋_GB2312" w:eastAsia="仿宋_GB2312"/>
                <w:b/>
                <w:bCs/>
                <w:sz w:val="24"/>
              </w:rPr>
              <w:t xml:space="preserve">B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区：</w:t>
            </w:r>
            <w:r>
              <w:rPr>
                <w:rFonts w:ascii="仿宋_GB2312" w:hAnsi="仿宋_GB2312" w:eastAsia="仿宋_GB2312"/>
                <w:sz w:val="24"/>
              </w:rPr>
              <w:t>1150</w:t>
            </w:r>
            <w:r>
              <w:rPr>
                <w:rFonts w:hint="eastAsia" w:ascii="仿宋_GB2312" w:hAnsi="仿宋_GB2312" w:eastAsia="仿宋_GB2312"/>
                <w:sz w:val="24"/>
              </w:rPr>
              <w:t>元</w:t>
            </w:r>
            <w:r>
              <w:rPr>
                <w:rFonts w:ascii="仿宋_GB2312" w:hAnsi="仿宋_GB2312"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（面积</w:t>
            </w:r>
            <w:r>
              <w:rPr>
                <w:rFonts w:hint="eastAsia" w:ascii="宋体" w:hAnsi="宋体"/>
                <w:sz w:val="24"/>
              </w:rPr>
              <w:t>＜</w:t>
            </w:r>
            <w:r>
              <w:rPr>
                <w:rFonts w:hint="eastAsia" w:ascii="仿宋_GB2312" w:hAnsi="仿宋_GB2312" w:eastAsia="仿宋_GB2312"/>
                <w:sz w:val="24"/>
              </w:rPr>
              <w:t>36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200" w:firstLineChars="5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1950</w:t>
            </w:r>
            <w:r>
              <w:rPr>
                <w:rFonts w:hint="eastAsia" w:ascii="仿宋_GB2312" w:hAnsi="仿宋_GB2312" w:eastAsia="仿宋_GB2312"/>
                <w:sz w:val="24"/>
              </w:rPr>
              <w:t>元</w:t>
            </w:r>
            <w:r>
              <w:rPr>
                <w:rFonts w:ascii="仿宋_GB2312" w:hAnsi="仿宋_GB2312"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（36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≤</w:t>
            </w:r>
            <w:r>
              <w:rPr>
                <w:rFonts w:hint="eastAsia" w:ascii="仿宋_GB2312" w:hAnsi="仿宋_GB2312" w:eastAsia="仿宋_GB2312"/>
                <w:sz w:val="24"/>
              </w:rPr>
              <w:t>面积</w:t>
            </w:r>
            <w:r>
              <w:rPr>
                <w:rFonts w:hint="eastAsia" w:ascii="宋体" w:hAnsi="宋体"/>
                <w:sz w:val="24"/>
              </w:rPr>
              <w:t>＜7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）</w:t>
            </w:r>
            <w:r>
              <w:rPr>
                <w:rFonts w:hint="eastAsia" w:ascii="仿宋_GB2312" w:hAnsi="仿宋_GB2312" w:eastAsia="仿宋_GB2312"/>
                <w:sz w:val="24"/>
                <w:vertAlign w:val="subscript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   </w:t>
            </w:r>
            <w:r>
              <w:rPr>
                <w:rFonts w:ascii="仿宋_GB2312" w:hAnsi="仿宋_GB2312" w:eastAsia="仿宋_GB2312"/>
                <w:sz w:val="24"/>
              </w:rPr>
              <w:t>1100</w:t>
            </w:r>
            <w:r>
              <w:rPr>
                <w:rFonts w:hint="eastAsia" w:ascii="仿宋_GB2312" w:hAnsi="仿宋_GB2312" w:eastAsia="仿宋_GB2312"/>
                <w:sz w:val="24"/>
              </w:rPr>
              <w:t>元</w:t>
            </w:r>
            <w:r>
              <w:rPr>
                <w:rFonts w:ascii="仿宋_GB2312" w:hAnsi="仿宋_GB2312"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（36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≤</w:t>
            </w:r>
            <w:r>
              <w:rPr>
                <w:rFonts w:hint="eastAsia" w:ascii="仿宋_GB2312" w:hAnsi="仿宋_GB2312" w:eastAsia="仿宋_GB2312"/>
                <w:sz w:val="24"/>
              </w:rPr>
              <w:t>面积</w:t>
            </w:r>
            <w:r>
              <w:rPr>
                <w:rFonts w:hint="eastAsia" w:ascii="宋体" w:hAnsi="宋体"/>
                <w:sz w:val="24"/>
              </w:rPr>
              <w:t>＜7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200" w:firstLineChars="50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1850</w:t>
            </w:r>
            <w:r>
              <w:rPr>
                <w:rFonts w:hint="eastAsia" w:ascii="仿宋_GB2312" w:hAnsi="仿宋_GB2312" w:eastAsia="仿宋_GB2312"/>
                <w:sz w:val="24"/>
              </w:rPr>
              <w:t>元</w:t>
            </w:r>
            <w:r>
              <w:rPr>
                <w:rFonts w:ascii="仿宋_GB2312" w:hAnsi="仿宋_GB2312"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（面积</w:t>
            </w:r>
            <w:r>
              <w:rPr>
                <w:rFonts w:hint="eastAsia" w:ascii="宋体" w:hAnsi="宋体"/>
                <w:sz w:val="24"/>
              </w:rPr>
              <w:t>≥7</w:t>
            </w: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）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         </w:t>
            </w:r>
            <w:r>
              <w:rPr>
                <w:rFonts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</w:rPr>
              <w:t>1050</w:t>
            </w:r>
            <w:r>
              <w:rPr>
                <w:rFonts w:hint="eastAsia" w:ascii="仿宋_GB2312" w:hAnsi="仿宋_GB2312" w:eastAsia="仿宋_GB2312"/>
                <w:sz w:val="24"/>
              </w:rPr>
              <w:t>元</w:t>
            </w:r>
            <w:r>
              <w:rPr>
                <w:rFonts w:ascii="仿宋_GB2312" w:hAnsi="仿宋_GB2312"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（面积</w:t>
            </w:r>
            <w:r>
              <w:rPr>
                <w:rFonts w:hint="eastAsia" w:ascii="宋体" w:hAnsi="宋体"/>
                <w:sz w:val="24"/>
              </w:rPr>
              <w:t>≥7</w:t>
            </w: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 xml:space="preserve"> 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本公司拟租：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馆 □</w:t>
            </w:r>
            <w:r>
              <w:rPr>
                <w:rFonts w:ascii="仿宋_GB2312" w:hAnsi="仿宋_GB2312" w:eastAsia="仿宋_GB2312"/>
                <w:sz w:val="24"/>
                <w:u w:val="double"/>
              </w:rPr>
              <w:t>A</w:t>
            </w:r>
            <w:r>
              <w:rPr>
                <w:rFonts w:hint="eastAsia" w:ascii="仿宋_GB2312" w:hAnsi="仿宋_GB2312" w:eastAsia="仿宋_GB2312"/>
                <w:sz w:val="24"/>
                <w:u w:val="double"/>
              </w:rPr>
              <w:t>区</w:t>
            </w:r>
            <w:r>
              <w:rPr>
                <w:rFonts w:ascii="仿宋_GB2312" w:hAnsi="仿宋_GB2312" w:eastAsia="仿宋_GB2312"/>
                <w:sz w:val="24"/>
                <w:u w:val="double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ascii="仿宋_GB2312" w:hAnsi="仿宋_GB2312" w:eastAsia="仿宋_GB2312"/>
                <w:sz w:val="24"/>
                <w:u w:val="double"/>
              </w:rPr>
              <w:t>B</w:t>
            </w:r>
            <w:r>
              <w:rPr>
                <w:rFonts w:hint="eastAsia" w:ascii="仿宋_GB2312" w:hAnsi="仿宋_GB2312" w:eastAsia="仿宋_GB2312"/>
                <w:sz w:val="24"/>
                <w:u w:val="double"/>
              </w:rPr>
              <w:t>区</w:t>
            </w:r>
            <w:r>
              <w:rPr>
                <w:rFonts w:ascii="仿宋_GB2312" w:hAnsi="仿宋_GB2312" w:eastAsia="仿宋_GB2312"/>
                <w:sz w:val="24"/>
                <w:u w:val="double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的展位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Batang" w:hAnsi="Batang" w:eastAsia="Batang" w:cs="Batang"/>
                <w:sz w:val="24"/>
              </w:rPr>
              <w:t>㎡</w:t>
            </w:r>
            <w:r>
              <w:rPr>
                <w:rFonts w:hint="eastAsia" w:ascii="仿宋_GB2312" w:hAnsi="仿宋_GB2312" w:eastAsia="仿宋_GB2312"/>
                <w:sz w:val="24"/>
              </w:rPr>
              <w:t>，展位号为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展位搭建类型：</w:t>
            </w:r>
            <w:r>
              <w:rPr>
                <w:rFonts w:hint="eastAsia" w:ascii="仿宋_GB2312" w:hAns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</w:rPr>
              <w:t>特装</w:t>
            </w:r>
            <w:r>
              <w:rPr>
                <w:rFonts w:hint="eastAsia" w:ascii="仿宋_GB2312" w:hAnsi="仿宋_GB2312" w:eastAsia="仿宋_GB2312"/>
                <w:bCs/>
                <w:sz w:val="22"/>
                <w:szCs w:val="22"/>
              </w:rPr>
              <w:t>（需要自费搭建）</w:t>
            </w:r>
            <w:r>
              <w:rPr>
                <w:rFonts w:hint="eastAsia" w:ascii="仿宋_GB2312" w:hAns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</w:rPr>
              <w:t>标准展位（</w:t>
            </w:r>
            <w:r>
              <w:rPr>
                <w:rFonts w:hint="eastAsia" w:ascii="仿宋_GB2312" w:hAnsi="仿宋_GB2312" w:eastAsia="仿宋_GB2312"/>
                <w:bCs/>
                <w:sz w:val="22"/>
                <w:szCs w:val="22"/>
              </w:rPr>
              <w:t>需另付主场搭建商标准展位搭建费100元/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㎡</w:t>
            </w:r>
            <w:r>
              <w:rPr>
                <w:rFonts w:hint="eastAsia" w:ascii="仿宋_GB2312" w:hAnsi="仿宋_GB2312" w:eastAsia="仿宋_GB2312"/>
                <w:sz w:val="24"/>
              </w:rPr>
              <w:t>）。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费用合计：</w:t>
            </w:r>
            <w:r>
              <w:rPr>
                <w:rFonts w:hint="eastAsia" w:ascii="仿宋_GB2312" w:hAnsi="仿宋_GB2312" w:eastAsia="仿宋_GB2312"/>
                <w:sz w:val="24"/>
              </w:rPr>
              <w:t>展位费计算为：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>平方米</w:t>
            </w:r>
            <w:r>
              <w:rPr>
                <w:rFonts w:ascii="Arial" w:hAnsi="Arial" w:eastAsia="仿宋_GB2312" w:cs="Arial"/>
                <w:sz w:val="24"/>
              </w:rPr>
              <w:t>×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>元/平方米，合计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元。实际收费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元；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搭建费计算为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>平方米</w:t>
            </w:r>
            <w:r>
              <w:rPr>
                <w:rFonts w:ascii="Arial" w:hAnsi="Arial" w:eastAsia="仿宋_GB2312" w:cs="Arial"/>
                <w:sz w:val="24"/>
              </w:rPr>
              <w:t>×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4"/>
              </w:rPr>
              <w:t>元/平方米，合计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</w:rPr>
              <w:t>元；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总计收费用为：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04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960" w:firstLineChars="4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（参展单位盖章）　　　　　                                （主办单位盖章）　</w:t>
            </w:r>
          </w:p>
          <w:p>
            <w:pPr>
              <w:spacing w:before="156" w:beforeLines="50" w:line="360" w:lineRule="exact"/>
              <w:rPr>
                <w:rFonts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代表签名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>　　　　　       　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代表签名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>　　　　　       　</w:t>
            </w:r>
          </w:p>
          <w:p>
            <w:pPr>
              <w:spacing w:before="156" w:beforeLines="50" w:line="360" w:lineRule="exact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填表日期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>　　　　　　　   　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填表日期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>　　　　　　　   　</w:t>
            </w:r>
          </w:p>
        </w:tc>
      </w:tr>
    </w:tbl>
    <w:p>
      <w:pPr>
        <w:spacing w:line="300" w:lineRule="exact"/>
        <w:ind w:left="-594" w:leftChars="-270" w:right="-499" w:rightChars="-227"/>
        <w:rPr>
          <w:rFonts w:hint="eastAsia" w:ascii="仿宋_GB2312" w:hAnsi="仿宋_GB2312" w:eastAsia="仿宋_GB2312"/>
          <w:b/>
          <w:sz w:val="24"/>
        </w:rPr>
      </w:pPr>
    </w:p>
    <w:p>
      <w:pPr>
        <w:spacing w:line="300" w:lineRule="exact"/>
        <w:ind w:left="-594" w:leftChars="-270" w:right="-499" w:rightChars="-227"/>
        <w:rPr>
          <w:rFonts w:hint="eastAsia" w:ascii="仿宋_GB2312" w:hAnsi="仿宋_GB2312" w:eastAsia="仿宋_GB2312"/>
          <w:b/>
          <w:sz w:val="24"/>
        </w:rPr>
      </w:pPr>
    </w:p>
    <w:p>
      <w:pPr>
        <w:spacing w:line="300" w:lineRule="exact"/>
        <w:ind w:left="-594" w:leftChars="-270" w:right="-499" w:rightChars="-227"/>
        <w:rPr>
          <w:rFonts w:hint="eastAsia" w:ascii="仿宋_GB2312" w:hAnsi="仿宋_GB2312" w:eastAsia="仿宋_GB2312"/>
          <w:b/>
          <w:sz w:val="24"/>
        </w:rPr>
      </w:pPr>
    </w:p>
    <w:p>
      <w:pPr>
        <w:spacing w:line="300" w:lineRule="exact"/>
        <w:ind w:right="-499" w:rightChars="-227"/>
        <w:rPr>
          <w:rFonts w:hint="eastAsia" w:ascii="仿宋_GB2312" w:hAnsi="仿宋_GB2312" w:eastAsia="仿宋_GB2312"/>
          <w:sz w:val="24"/>
          <w:lang w:eastAsia="zh-CN"/>
        </w:rPr>
        <w:sectPr>
          <w:headerReference r:id="rId5" w:type="default"/>
          <w:footerReference r:id="rId6" w:type="default"/>
          <w:footerReference r:id="rId7" w:type="even"/>
          <w:type w:val="continuous"/>
          <w:pgSz w:w="11906" w:h="16838"/>
          <w:pgMar w:top="404" w:right="1797" w:bottom="624" w:left="1797" w:header="651" w:footer="992" w:gutter="0"/>
          <w:cols w:space="720" w:num="1"/>
          <w:docGrid w:type="linesAndChars" w:linePitch="312" w:charSpace="0"/>
        </w:sectPr>
      </w:pPr>
    </w:p>
    <w:p>
      <w:pPr>
        <w:tabs>
          <w:tab w:val="left" w:pos="9980"/>
        </w:tabs>
        <w:spacing w:before="50"/>
        <w:ind w:left="102" w:right="0" w:firstLine="0"/>
        <w:jc w:val="left"/>
        <w:rPr>
          <w:rFonts w:ascii="Times New Roman" w:eastAsia="Times New Roman"/>
          <w:sz w:val="12"/>
        </w:rPr>
      </w:pPr>
      <w:r>
        <w:rPr>
          <w:sz w:val="20"/>
        </w:rPr>
        <w:t>公司名</w:t>
      </w:r>
      <w:r>
        <w:rPr>
          <w:spacing w:val="29"/>
          <w:sz w:val="20"/>
        </w:rPr>
        <w:t>称</w:t>
      </w:r>
      <w:r>
        <w:rPr>
          <w:sz w:val="12"/>
        </w:rPr>
        <w:t>：</w:t>
      </w:r>
      <w:r>
        <w:rPr>
          <w:rFonts w:ascii="Times New Roman" w:eastAsia="Times New Roman"/>
          <w:sz w:val="12"/>
          <w:u w:val="single"/>
        </w:rPr>
        <w:t xml:space="preserve"> </w:t>
      </w:r>
      <w:r>
        <w:rPr>
          <w:rFonts w:ascii="Times New Roman" w:eastAsia="Times New Roman"/>
          <w:sz w:val="12"/>
          <w:u w:val="single"/>
        </w:rPr>
        <w:tab/>
      </w:r>
    </w:p>
    <w:p>
      <w:pPr>
        <w:pStyle w:val="3"/>
        <w:spacing w:before="95" w:line="244" w:lineRule="auto"/>
        <w:ind w:left="101" w:right="99" w:firstLine="0"/>
      </w:pPr>
      <w:r>
        <w:t>请详细填写本页，连同第一页一并回传。如有多种类别的展品同时展出，请在以下选项中选择主要展品的类别。这是划分展位区域的重要依据，切勿忽 视。参展商展示的展品必须与本次专业展览会相关展示范围一致，对不符合要求的展商，主办单位有权取消其参展资格。（用于会刊登录的展品类别表将在展商手册中发布）</w:t>
      </w:r>
    </w:p>
    <w:p>
      <w:pPr>
        <w:pStyle w:val="3"/>
        <w:spacing w:before="3"/>
        <w:ind w:left="0" w:firstLine="0"/>
        <w:rPr>
          <w:sz w:val="14"/>
        </w:rPr>
      </w:pPr>
    </w:p>
    <w:p>
      <w:pPr>
        <w:pStyle w:val="2"/>
        <w:spacing w:before="0"/>
        <w:ind w:left="101" w:firstLine="0"/>
      </w:pPr>
      <w:r>
        <w:t>我司将展示的展品和</w:t>
      </w:r>
      <w:r>
        <w:rPr>
          <w:rFonts w:ascii="Arial" w:eastAsia="Arial"/>
        </w:rPr>
        <w:t>/</w:t>
      </w:r>
      <w:r>
        <w:t>或服务是属于以下展示范围中的：</w:t>
      </w:r>
    </w:p>
    <w:p>
      <w:pPr>
        <w:pStyle w:val="3"/>
        <w:spacing w:before="4"/>
        <w:ind w:left="0" w:firstLine="0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60" w:right="420" w:bottom="280" w:left="540" w:header="720" w:footer="720" w:gutter="0"/>
          <w:cols w:space="720" w:num="1"/>
        </w:sectPr>
      </w:pPr>
    </w:p>
    <w:p>
      <w:pPr>
        <w:pStyle w:val="10"/>
        <w:numPr>
          <w:ilvl w:val="0"/>
          <w:numId w:val="1"/>
        </w:numPr>
        <w:tabs>
          <w:tab w:val="left" w:pos="326"/>
        </w:tabs>
        <w:spacing w:before="85" w:after="0" w:line="240" w:lineRule="auto"/>
        <w:ind w:left="325" w:right="0" w:hanging="226"/>
        <w:jc w:val="left"/>
        <w:rPr>
          <w:b/>
          <w:sz w:val="16"/>
        </w:rPr>
      </w:pPr>
      <w:r>
        <w:rPr>
          <w:b/>
          <w:sz w:val="16"/>
        </w:rPr>
        <w:t>水和污水处理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1.1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沉淀、分离装置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1.2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搅拌器、格栅、过滤器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1.3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污水处理成套设备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1.4.</w:t>
      </w:r>
      <w:r>
        <w:rPr>
          <w:sz w:val="16"/>
        </w:rPr>
        <w:t>膜与过滤装置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1.5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海水淡化（脱盐）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1.6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蒸发与结晶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1.7</w:t>
      </w:r>
      <w:r>
        <w:rPr>
          <w:rFonts w:ascii="Arial" w:hAnsi="Arial" w:eastAsia="Arial"/>
          <w:spacing w:val="-17"/>
          <w:sz w:val="16"/>
        </w:rPr>
        <w:t xml:space="preserve"> </w:t>
      </w:r>
      <w:r>
        <w:rPr>
          <w:sz w:val="16"/>
        </w:rPr>
        <w:t>软化除盐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1.8</w:t>
      </w:r>
      <w:r>
        <w:rPr>
          <w:rFonts w:ascii="Arial" w:hAnsi="Arial" w:eastAsia="Arial"/>
          <w:spacing w:val="-17"/>
          <w:sz w:val="16"/>
        </w:rPr>
        <w:t xml:space="preserve"> </w:t>
      </w:r>
      <w:r>
        <w:rPr>
          <w:sz w:val="16"/>
        </w:rPr>
        <w:t>加药消毒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1.9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油水分离与气浮设备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1.10</w:t>
      </w:r>
      <w:r>
        <w:rPr>
          <w:rFonts w:ascii="Arial" w:hAnsi="Arial" w:eastAsia="Arial"/>
          <w:spacing w:val="-12"/>
          <w:sz w:val="16"/>
        </w:rPr>
        <w:t xml:space="preserve"> </w:t>
      </w:r>
      <w:r>
        <w:rPr>
          <w:sz w:val="16"/>
        </w:rPr>
        <w:t>曝气与好氧、厌氧处理装置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1.11</w:t>
      </w:r>
      <w:r>
        <w:rPr>
          <w:rFonts w:ascii="Arial" w:hAnsi="Arial" w:eastAsia="Arial"/>
          <w:spacing w:val="-12"/>
          <w:sz w:val="16"/>
        </w:rPr>
        <w:t xml:space="preserve"> </w:t>
      </w:r>
      <w:r>
        <w:rPr>
          <w:sz w:val="16"/>
        </w:rPr>
        <w:t>水处理化学品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1.12</w:t>
      </w:r>
      <w:r>
        <w:rPr>
          <w:rFonts w:ascii="Arial" w:hAnsi="Arial" w:eastAsia="Arial"/>
          <w:spacing w:val="-4"/>
          <w:sz w:val="16"/>
        </w:rPr>
        <w:t xml:space="preserve"> </w:t>
      </w:r>
      <w:r>
        <w:rPr>
          <w:sz w:val="16"/>
        </w:rPr>
        <w:t>水处理材料与配件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1.13</w:t>
      </w:r>
      <w:r>
        <w:rPr>
          <w:rFonts w:ascii="Arial" w:hAnsi="Arial" w:eastAsia="Arial"/>
          <w:spacing w:val="-20"/>
          <w:sz w:val="16"/>
        </w:rPr>
        <w:t xml:space="preserve"> </w:t>
      </w:r>
      <w:r>
        <w:rPr>
          <w:sz w:val="16"/>
        </w:rPr>
        <w:t>污泥及残渣处理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1.14</w:t>
      </w:r>
      <w:r>
        <w:rPr>
          <w:rFonts w:ascii="Arial" w:hAnsi="Arial" w:eastAsia="Arial"/>
          <w:spacing w:val="-22"/>
          <w:sz w:val="16"/>
        </w:rPr>
        <w:t xml:space="preserve"> </w:t>
      </w:r>
      <w:r>
        <w:rPr>
          <w:sz w:val="16"/>
        </w:rPr>
        <w:t>污泥脱水与固化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1.15</w:t>
      </w:r>
      <w:r>
        <w:rPr>
          <w:rFonts w:ascii="Arial" w:hAnsi="Arial" w:eastAsia="Arial"/>
          <w:spacing w:val="-22"/>
          <w:sz w:val="16"/>
        </w:rPr>
        <w:t xml:space="preserve"> </w:t>
      </w:r>
      <w:r>
        <w:rPr>
          <w:sz w:val="16"/>
        </w:rPr>
        <w:t>污泥干化与焚化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8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1.16</w:t>
      </w:r>
      <w:r>
        <w:rPr>
          <w:rFonts w:ascii="Arial" w:hAnsi="Arial" w:eastAsia="Arial"/>
          <w:spacing w:val="-12"/>
          <w:sz w:val="16"/>
        </w:rPr>
        <w:t xml:space="preserve"> </w:t>
      </w:r>
      <w:r>
        <w:rPr>
          <w:sz w:val="16"/>
        </w:rPr>
        <w:t>污泥再利用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1.17</w:t>
      </w:r>
      <w:r>
        <w:rPr>
          <w:rFonts w:ascii="Arial" w:hAnsi="Arial" w:eastAsia="Arial"/>
          <w:spacing w:val="-12"/>
          <w:sz w:val="16"/>
        </w:rPr>
        <w:t xml:space="preserve"> </w:t>
      </w:r>
      <w:r>
        <w:rPr>
          <w:sz w:val="16"/>
        </w:rPr>
        <w:t>废水到能源的转换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1.18</w:t>
      </w:r>
      <w:r>
        <w:rPr>
          <w:rFonts w:ascii="Arial" w:hAnsi="Arial" w:eastAsia="Arial"/>
          <w:spacing w:val="-12"/>
          <w:sz w:val="16"/>
        </w:rPr>
        <w:t xml:space="preserve"> </w:t>
      </w:r>
      <w:r>
        <w:rPr>
          <w:sz w:val="16"/>
        </w:rPr>
        <w:t>水的提取与利用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1.19</w:t>
      </w:r>
      <w:r>
        <w:rPr>
          <w:rFonts w:ascii="Arial" w:hAnsi="Arial" w:eastAsia="Arial"/>
          <w:spacing w:val="-12"/>
          <w:sz w:val="16"/>
        </w:rPr>
        <w:t xml:space="preserve"> </w:t>
      </w:r>
      <w:r>
        <w:rPr>
          <w:sz w:val="16"/>
        </w:rPr>
        <w:t>其它相关技术</w:t>
      </w:r>
    </w:p>
    <w:p>
      <w:pPr>
        <w:pStyle w:val="2"/>
        <w:numPr>
          <w:ilvl w:val="0"/>
          <w:numId w:val="1"/>
        </w:numPr>
        <w:tabs>
          <w:tab w:val="left" w:pos="369"/>
        </w:tabs>
        <w:spacing w:before="108" w:after="0" w:line="240" w:lineRule="auto"/>
        <w:ind w:left="368" w:right="0" w:hanging="267"/>
        <w:jc w:val="left"/>
      </w:pPr>
      <w:r>
        <w:t>水输送与下水道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90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2.1</w:t>
      </w:r>
      <w:r>
        <w:rPr>
          <w:rFonts w:ascii="Arial" w:hAnsi="Arial" w:eastAsia="Arial"/>
          <w:spacing w:val="-4"/>
          <w:sz w:val="16"/>
        </w:rPr>
        <w:t xml:space="preserve"> </w:t>
      </w:r>
      <w:r>
        <w:rPr>
          <w:sz w:val="16"/>
        </w:rPr>
        <w:t>二次供水与智慧水务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2.2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泵及提升系统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2.3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管</w:t>
      </w:r>
      <w:r>
        <w:rPr>
          <w:rFonts w:ascii="Arial" w:hAnsi="Arial" w:eastAsia="Arial"/>
          <w:sz w:val="16"/>
        </w:rPr>
        <w:t>,</w:t>
      </w:r>
      <w:r>
        <w:rPr>
          <w:sz w:val="16"/>
        </w:rPr>
        <w:t>管道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2.4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阀门</w:t>
      </w:r>
      <w:r>
        <w:rPr>
          <w:rFonts w:ascii="Arial" w:hAnsi="Arial" w:eastAsia="Arial"/>
          <w:sz w:val="16"/>
        </w:rPr>
        <w:t>,</w:t>
      </w:r>
      <w:r>
        <w:rPr>
          <w:sz w:val="16"/>
        </w:rPr>
        <w:t>执行器及配件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5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2.5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通风井</w:t>
      </w:r>
      <w:r>
        <w:rPr>
          <w:rFonts w:ascii="Arial" w:hAnsi="Arial" w:eastAsia="Arial"/>
          <w:sz w:val="16"/>
        </w:rPr>
        <w:t>,</w:t>
      </w:r>
      <w:r>
        <w:rPr>
          <w:sz w:val="16"/>
        </w:rPr>
        <w:t>特殊结构</w:t>
      </w:r>
      <w:r>
        <w:rPr>
          <w:rFonts w:ascii="Arial" w:hAnsi="Arial" w:eastAsia="Arial"/>
          <w:sz w:val="16"/>
        </w:rPr>
        <w:t>/</w:t>
      </w:r>
      <w:r>
        <w:rPr>
          <w:sz w:val="16"/>
        </w:rPr>
        <w:t>技术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8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2.6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下水道疏通、检测与清洗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2.7</w:t>
      </w:r>
      <w:r>
        <w:rPr>
          <w:rFonts w:ascii="Arial" w:hAnsi="Arial" w:eastAsia="Arial"/>
          <w:spacing w:val="-15"/>
          <w:sz w:val="16"/>
        </w:rPr>
        <w:t xml:space="preserve"> </w:t>
      </w:r>
      <w:r>
        <w:rPr>
          <w:sz w:val="16"/>
        </w:rPr>
        <w:t>输水管道的建设、运行与维护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2.8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泳池与水景喷泉</w:t>
      </w:r>
    </w:p>
    <w:p>
      <w:pPr>
        <w:pStyle w:val="2"/>
        <w:numPr>
          <w:ilvl w:val="0"/>
          <w:numId w:val="1"/>
        </w:numPr>
        <w:tabs>
          <w:tab w:val="left" w:pos="414"/>
        </w:tabs>
        <w:spacing w:before="108" w:after="0" w:line="240" w:lineRule="auto"/>
        <w:ind w:left="414" w:right="0" w:hanging="314"/>
        <w:jc w:val="left"/>
      </w:pPr>
      <w:r>
        <w:t>海绵城市技术与产品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90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3.1</w:t>
      </w:r>
      <w:r>
        <w:rPr>
          <w:rFonts w:ascii="Arial" w:hAnsi="Arial" w:eastAsia="Arial"/>
          <w:spacing w:val="-21"/>
          <w:sz w:val="16"/>
        </w:rPr>
        <w:t xml:space="preserve"> </w:t>
      </w:r>
      <w:r>
        <w:rPr>
          <w:sz w:val="16"/>
        </w:rPr>
        <w:t>雨水收集，溢流，储藏和沉淀池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3.2</w:t>
      </w:r>
      <w:r>
        <w:rPr>
          <w:rFonts w:ascii="Arial" w:hAnsi="Arial" w:eastAsia="Arial"/>
          <w:spacing w:val="-4"/>
          <w:sz w:val="16"/>
        </w:rPr>
        <w:t xml:space="preserve"> </w:t>
      </w:r>
      <w:r>
        <w:rPr>
          <w:sz w:val="16"/>
        </w:rPr>
        <w:t>雨水渗透和储藏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8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3.3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雨水排放格栅</w:t>
      </w:r>
    </w:p>
    <w:p>
      <w:pPr>
        <w:pStyle w:val="2"/>
        <w:numPr>
          <w:ilvl w:val="0"/>
          <w:numId w:val="1"/>
        </w:numPr>
        <w:tabs>
          <w:tab w:val="left" w:pos="414"/>
        </w:tabs>
        <w:spacing w:before="108" w:after="0" w:line="240" w:lineRule="auto"/>
        <w:ind w:left="414" w:right="0" w:hanging="314"/>
        <w:jc w:val="left"/>
      </w:pPr>
      <w:r>
        <w:t>河湖与黑臭水体治理与生态修复</w:t>
      </w:r>
    </w:p>
    <w:p>
      <w:pPr>
        <w:pStyle w:val="10"/>
        <w:numPr>
          <w:ilvl w:val="0"/>
          <w:numId w:val="1"/>
        </w:numPr>
        <w:tabs>
          <w:tab w:val="left" w:pos="414"/>
        </w:tabs>
        <w:spacing w:before="111" w:after="0" w:line="240" w:lineRule="auto"/>
        <w:ind w:left="414" w:right="0" w:hanging="314"/>
        <w:jc w:val="left"/>
        <w:rPr>
          <w:b/>
          <w:sz w:val="16"/>
        </w:rPr>
      </w:pPr>
      <w:r>
        <w:rPr>
          <w:b/>
          <w:sz w:val="16"/>
        </w:rPr>
        <w:t>废弃物管理与回收</w:t>
      </w:r>
    </w:p>
    <w:p>
      <w:pPr>
        <w:pStyle w:val="10"/>
        <w:numPr>
          <w:ilvl w:val="1"/>
          <w:numId w:val="1"/>
        </w:numPr>
        <w:tabs>
          <w:tab w:val="left" w:pos="627"/>
        </w:tabs>
        <w:spacing w:before="108" w:after="0" w:line="240" w:lineRule="auto"/>
        <w:ind w:left="626" w:right="0" w:hanging="260"/>
        <w:jc w:val="left"/>
        <w:rPr>
          <w:sz w:val="16"/>
        </w:rPr>
      </w:pPr>
      <w:r>
        <w:rPr>
          <w:sz w:val="16"/>
        </w:rPr>
        <w:t>垃圾收集与运输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23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5.1.1</w:t>
      </w:r>
      <w:r>
        <w:rPr>
          <w:rFonts w:ascii="Arial" w:hAnsi="Arial" w:eastAsia="Arial"/>
          <w:spacing w:val="-11"/>
          <w:sz w:val="16"/>
        </w:rPr>
        <w:t xml:space="preserve"> </w:t>
      </w:r>
      <w:r>
        <w:rPr>
          <w:sz w:val="16"/>
        </w:rPr>
        <w:t>垃圾容器与设备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5.1.2</w:t>
      </w:r>
      <w:r>
        <w:rPr>
          <w:rFonts w:ascii="Arial" w:hAnsi="Arial" w:eastAsia="Arial"/>
          <w:spacing w:val="-12"/>
          <w:sz w:val="16"/>
        </w:rPr>
        <w:t xml:space="preserve"> </w:t>
      </w:r>
      <w:r>
        <w:rPr>
          <w:sz w:val="16"/>
        </w:rPr>
        <w:t>垃圾收集、清运设施与车辆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5.1.3</w:t>
      </w:r>
      <w:r>
        <w:rPr>
          <w:rFonts w:ascii="Arial" w:hAnsi="Arial" w:eastAsia="Arial"/>
          <w:spacing w:val="-22"/>
          <w:sz w:val="16"/>
        </w:rPr>
        <w:t xml:space="preserve"> </w:t>
      </w:r>
      <w:r>
        <w:rPr>
          <w:sz w:val="16"/>
        </w:rPr>
        <w:t>运输车及其车厢结构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5.1.4</w:t>
      </w:r>
      <w:r>
        <w:rPr>
          <w:rFonts w:ascii="Arial" w:hAnsi="Arial" w:eastAsia="Arial"/>
          <w:spacing w:val="-22"/>
          <w:sz w:val="16"/>
        </w:rPr>
        <w:t xml:space="preserve"> </w:t>
      </w:r>
      <w:r>
        <w:rPr>
          <w:sz w:val="16"/>
        </w:rPr>
        <w:t>环卫厕所与粪便收集</w:t>
      </w:r>
    </w:p>
    <w:p>
      <w:pPr>
        <w:pStyle w:val="10"/>
        <w:numPr>
          <w:ilvl w:val="1"/>
          <w:numId w:val="1"/>
        </w:numPr>
        <w:tabs>
          <w:tab w:val="left" w:pos="636"/>
        </w:tabs>
        <w:spacing w:before="85" w:after="0" w:line="240" w:lineRule="auto"/>
        <w:ind w:left="635" w:right="0" w:hanging="268"/>
        <w:jc w:val="left"/>
        <w:rPr>
          <w:sz w:val="16"/>
        </w:rPr>
      </w:pPr>
      <w:r>
        <w:rPr>
          <w:spacing w:val="-1"/>
          <w:sz w:val="16"/>
        </w:rPr>
        <w:br w:type="column"/>
      </w:r>
      <w:r>
        <w:rPr>
          <w:sz w:val="16"/>
        </w:rPr>
        <w:t>垃圾处理与回收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5.2.1</w:t>
      </w:r>
      <w:r>
        <w:rPr>
          <w:rFonts w:ascii="Arial" w:hAnsi="Arial" w:eastAsia="Arial"/>
          <w:spacing w:val="-11"/>
          <w:sz w:val="16"/>
        </w:rPr>
        <w:t xml:space="preserve"> </w:t>
      </w:r>
      <w:r>
        <w:rPr>
          <w:sz w:val="16"/>
        </w:rPr>
        <w:t>筛分、分拣、破碎机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5.2.2</w:t>
      </w:r>
      <w:r>
        <w:rPr>
          <w:rFonts w:ascii="Arial" w:hAnsi="Arial" w:eastAsia="Arial"/>
          <w:spacing w:val="-11"/>
          <w:sz w:val="16"/>
        </w:rPr>
        <w:t xml:space="preserve"> </w:t>
      </w:r>
      <w:r>
        <w:rPr>
          <w:sz w:val="16"/>
        </w:rPr>
        <w:t>搅拌器、烘干机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5.2.3</w:t>
      </w:r>
      <w:r>
        <w:rPr>
          <w:rFonts w:ascii="Arial" w:hAnsi="Arial" w:eastAsia="Arial"/>
          <w:spacing w:val="-11"/>
          <w:sz w:val="16"/>
        </w:rPr>
        <w:t xml:space="preserve"> </w:t>
      </w:r>
      <w:r>
        <w:rPr>
          <w:sz w:val="16"/>
        </w:rPr>
        <w:t>压实机及打包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5.2.4</w:t>
      </w:r>
      <w:r>
        <w:rPr>
          <w:rFonts w:ascii="Arial" w:hAnsi="Arial" w:eastAsia="Arial"/>
          <w:spacing w:val="-11"/>
          <w:sz w:val="16"/>
        </w:rPr>
        <w:t xml:space="preserve"> </w:t>
      </w:r>
      <w:r>
        <w:rPr>
          <w:sz w:val="16"/>
        </w:rPr>
        <w:t>漏斗、传送和测量装置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5.2.5</w:t>
      </w:r>
      <w:r>
        <w:rPr>
          <w:rFonts w:ascii="Arial" w:hAnsi="Arial" w:eastAsia="Arial"/>
          <w:spacing w:val="-11"/>
          <w:sz w:val="16"/>
        </w:rPr>
        <w:t xml:space="preserve"> </w:t>
      </w:r>
      <w:r>
        <w:rPr>
          <w:sz w:val="16"/>
        </w:rPr>
        <w:t>垃圾焚烧与热处理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5.2.6</w:t>
      </w:r>
      <w:r>
        <w:rPr>
          <w:rFonts w:ascii="Arial" w:hAnsi="Arial" w:eastAsia="Arial"/>
          <w:spacing w:val="-11"/>
          <w:sz w:val="16"/>
        </w:rPr>
        <w:t xml:space="preserve"> </w:t>
      </w:r>
      <w:r>
        <w:rPr>
          <w:sz w:val="16"/>
        </w:rPr>
        <w:t>生物处理、堆肥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5.2.7</w:t>
      </w:r>
      <w:r>
        <w:rPr>
          <w:rFonts w:ascii="Arial" w:hAnsi="Arial" w:eastAsia="Arial"/>
          <w:spacing w:val="-11"/>
          <w:sz w:val="16"/>
        </w:rPr>
        <w:t xml:space="preserve"> </w:t>
      </w:r>
      <w:r>
        <w:rPr>
          <w:sz w:val="16"/>
        </w:rPr>
        <w:t>垃圾填埋与渗滤液处理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5.2.8</w:t>
      </w:r>
      <w:r>
        <w:rPr>
          <w:rFonts w:ascii="Arial" w:hAnsi="Arial" w:eastAsia="Arial"/>
          <w:spacing w:val="-11"/>
          <w:sz w:val="16"/>
        </w:rPr>
        <w:t xml:space="preserve"> </w:t>
      </w:r>
      <w:r>
        <w:rPr>
          <w:sz w:val="16"/>
        </w:rPr>
        <w:t>建筑垃圾处理与利用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5.2.9</w:t>
      </w:r>
      <w:r>
        <w:rPr>
          <w:rFonts w:ascii="Arial" w:hAnsi="Arial" w:eastAsia="Arial"/>
          <w:spacing w:val="-11"/>
          <w:sz w:val="16"/>
        </w:rPr>
        <w:t xml:space="preserve"> </w:t>
      </w:r>
      <w:r>
        <w:rPr>
          <w:sz w:val="16"/>
        </w:rPr>
        <w:t>报废汽车拆解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5.2.10</w:t>
      </w:r>
      <w:r>
        <w:rPr>
          <w:rFonts w:ascii="Arial" w:hAnsi="Arial" w:eastAsia="Arial"/>
          <w:spacing w:val="-24"/>
          <w:sz w:val="16"/>
        </w:rPr>
        <w:t xml:space="preserve"> </w:t>
      </w:r>
      <w:r>
        <w:rPr>
          <w:sz w:val="16"/>
        </w:rPr>
        <w:t>危险废弃物的处理处置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5.2.11</w:t>
      </w:r>
      <w:r>
        <w:rPr>
          <w:rFonts w:ascii="Arial" w:hAnsi="Arial" w:eastAsia="Arial"/>
          <w:spacing w:val="-24"/>
          <w:sz w:val="16"/>
        </w:rPr>
        <w:t xml:space="preserve"> </w:t>
      </w:r>
      <w:r>
        <w:rPr>
          <w:sz w:val="16"/>
        </w:rPr>
        <w:t>畜禽废弃物处理与利用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5.2.12</w:t>
      </w:r>
      <w:r>
        <w:rPr>
          <w:rFonts w:ascii="Arial" w:hAnsi="Arial" w:eastAsia="Arial"/>
          <w:spacing w:val="-11"/>
          <w:sz w:val="16"/>
        </w:rPr>
        <w:t xml:space="preserve"> </w:t>
      </w:r>
      <w:r>
        <w:rPr>
          <w:sz w:val="16"/>
        </w:rPr>
        <w:t>地膜回收及利用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5.3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通用设备、装置和配件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5.4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职业安全和事故预防</w:t>
      </w:r>
    </w:p>
    <w:p>
      <w:pPr>
        <w:pStyle w:val="2"/>
        <w:numPr>
          <w:ilvl w:val="0"/>
          <w:numId w:val="1"/>
        </w:numPr>
        <w:tabs>
          <w:tab w:val="left" w:pos="326"/>
        </w:tabs>
        <w:spacing w:before="109" w:after="0" w:line="240" w:lineRule="auto"/>
        <w:ind w:left="325" w:right="0" w:hanging="226"/>
        <w:jc w:val="left"/>
      </w:pPr>
      <w:r>
        <w:t>废弃物能源化利用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89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6.1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pacing w:val="-1"/>
          <w:sz w:val="16"/>
        </w:rPr>
        <w:t>生物质发电厂</w:t>
      </w:r>
      <w:r>
        <w:rPr>
          <w:rFonts w:ascii="Arial" w:hAnsi="Arial" w:eastAsia="Arial"/>
          <w:sz w:val="16"/>
        </w:rPr>
        <w:t>/</w:t>
      </w:r>
      <w:r>
        <w:rPr>
          <w:sz w:val="16"/>
        </w:rPr>
        <w:t>发酵、成份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6.2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填埋气利用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6.3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基质加工、运输和供给系统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6.4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气体运输和处理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5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6.5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气体利用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8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6.6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发酵废物的处理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6.7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生物质物流</w:t>
      </w:r>
    </w:p>
    <w:p>
      <w:pPr>
        <w:pStyle w:val="2"/>
        <w:numPr>
          <w:ilvl w:val="0"/>
          <w:numId w:val="1"/>
        </w:numPr>
        <w:tabs>
          <w:tab w:val="left" w:pos="326"/>
        </w:tabs>
        <w:spacing w:before="110" w:after="0" w:line="240" w:lineRule="auto"/>
        <w:ind w:left="325" w:right="0" w:hanging="226"/>
        <w:jc w:val="left"/>
      </w:pPr>
      <w:r>
        <w:t>城市道路清洁与维护设备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88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7.1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街道清扫车辆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7.2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街道清洗车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7.3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洒水车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8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7.4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pacing w:val="-8"/>
          <w:sz w:val="16"/>
        </w:rPr>
        <w:t>公路清扫机 与结构、附件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5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7.5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排水沟清洁设备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7.6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其他</w:t>
      </w:r>
    </w:p>
    <w:p>
      <w:pPr>
        <w:pStyle w:val="2"/>
        <w:numPr>
          <w:ilvl w:val="0"/>
          <w:numId w:val="1"/>
        </w:numPr>
        <w:tabs>
          <w:tab w:val="left" w:pos="326"/>
        </w:tabs>
        <w:spacing w:before="110" w:after="0" w:line="240" w:lineRule="auto"/>
        <w:ind w:left="325" w:right="0" w:hanging="226"/>
        <w:jc w:val="left"/>
      </w:pPr>
      <w:r>
        <w:t>土壤与地下水修复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88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8.1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土壤修复技术与装备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8.2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土壤检测分析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8.3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土壤修复过程监测和服务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8.4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土壤修复功能材料（药剂）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8.5</w:t>
      </w:r>
      <w:r>
        <w:rPr>
          <w:rFonts w:ascii="Arial" w:hAnsi="Arial" w:eastAsia="Arial"/>
          <w:spacing w:val="-17"/>
          <w:sz w:val="16"/>
        </w:rPr>
        <w:t xml:space="preserve"> </w:t>
      </w:r>
      <w:r>
        <w:rPr>
          <w:sz w:val="16"/>
        </w:rPr>
        <w:t>土壤修复治理与修复工程设计和施工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8.6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土壤调查与风险评估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8.7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农业用地修复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8.8</w:t>
      </w:r>
      <w:r>
        <w:rPr>
          <w:rFonts w:ascii="Arial" w:hAnsi="Arial" w:eastAsia="Arial"/>
          <w:spacing w:val="-14"/>
          <w:sz w:val="16"/>
        </w:rPr>
        <w:t xml:space="preserve"> </w:t>
      </w:r>
      <w:r>
        <w:rPr>
          <w:sz w:val="16"/>
        </w:rPr>
        <w:t>污染地下水处理</w:t>
      </w:r>
    </w:p>
    <w:p>
      <w:pPr>
        <w:pStyle w:val="2"/>
        <w:numPr>
          <w:ilvl w:val="0"/>
          <w:numId w:val="1"/>
        </w:numPr>
        <w:tabs>
          <w:tab w:val="left" w:pos="280"/>
        </w:tabs>
        <w:spacing w:before="85" w:after="0" w:line="240" w:lineRule="auto"/>
        <w:ind w:left="279" w:right="0" w:hanging="180"/>
        <w:jc w:val="left"/>
      </w:pPr>
      <w:r>
        <w:rPr>
          <w:w w:val="99"/>
        </w:rPr>
        <w:br w:type="column"/>
      </w:r>
      <w:r>
        <w:t>工业废气回收与治理技术设备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9.1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废气治理设备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9.2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除臭设备及系统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9.3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废气回收利用装置与技术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9.4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咨询</w:t>
      </w:r>
      <w:r>
        <w:rPr>
          <w:rFonts w:ascii="Arial" w:hAnsi="Arial" w:eastAsia="Arial"/>
          <w:sz w:val="16"/>
        </w:rPr>
        <w:t>/</w:t>
      </w:r>
      <w:r>
        <w:rPr>
          <w:sz w:val="16"/>
        </w:rPr>
        <w:t>工程</w:t>
      </w:r>
    </w:p>
    <w:p>
      <w:pPr>
        <w:pStyle w:val="2"/>
        <w:numPr>
          <w:ilvl w:val="0"/>
          <w:numId w:val="1"/>
        </w:numPr>
        <w:tabs>
          <w:tab w:val="left" w:pos="369"/>
        </w:tabs>
        <w:spacing w:before="109" w:after="0" w:line="240" w:lineRule="auto"/>
        <w:ind w:left="368" w:right="0" w:hanging="269"/>
        <w:jc w:val="left"/>
      </w:pPr>
      <w:r>
        <w:t>工业烟尘、粉尘治理技术设备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89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10.1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烟气脱硫与脱硝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10.2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工业吸尘器与除尘技术与设备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10</w:t>
      </w:r>
      <w:r>
        <w:rPr>
          <w:rFonts w:ascii="Arial" w:hAnsi="Arial" w:eastAsia="Arial"/>
          <w:spacing w:val="-2"/>
          <w:sz w:val="16"/>
        </w:rPr>
        <w:t xml:space="preserve"> .</w:t>
      </w:r>
      <w:r>
        <w:rPr>
          <w:rFonts w:ascii="Arial" w:hAnsi="Arial" w:eastAsia="Arial"/>
          <w:sz w:val="16"/>
        </w:rPr>
        <w:t>3</w:t>
      </w:r>
      <w:r>
        <w:rPr>
          <w:rFonts w:ascii="Arial" w:hAnsi="Arial" w:eastAsia="Arial"/>
          <w:spacing w:val="-9"/>
          <w:sz w:val="16"/>
        </w:rPr>
        <w:t xml:space="preserve"> </w:t>
      </w:r>
      <w:r>
        <w:rPr>
          <w:sz w:val="16"/>
        </w:rPr>
        <w:t>燃煤电厂、锅炉超低排放技术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10.4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其它相关产品与设备</w:t>
      </w:r>
    </w:p>
    <w:p>
      <w:pPr>
        <w:pStyle w:val="2"/>
        <w:numPr>
          <w:ilvl w:val="0"/>
          <w:numId w:val="1"/>
        </w:numPr>
        <w:tabs>
          <w:tab w:val="left" w:pos="369"/>
        </w:tabs>
        <w:spacing w:before="108" w:after="0" w:line="240" w:lineRule="auto"/>
        <w:ind w:left="368" w:right="0" w:hanging="269"/>
        <w:jc w:val="left"/>
      </w:pPr>
      <w:r>
        <w:t>空气净化与洁净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89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11.1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空气净化与新风系统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11.2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洁净厂房建造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8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11.3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油气回收装置与净化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5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11.4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尾气净化设备</w:t>
      </w:r>
    </w:p>
    <w:p>
      <w:pPr>
        <w:pStyle w:val="2"/>
        <w:numPr>
          <w:ilvl w:val="0"/>
          <w:numId w:val="1"/>
        </w:numPr>
        <w:tabs>
          <w:tab w:val="left" w:pos="369"/>
        </w:tabs>
        <w:spacing w:before="109" w:after="0" w:line="240" w:lineRule="auto"/>
        <w:ind w:left="368" w:right="0" w:hanging="269"/>
        <w:jc w:val="left"/>
      </w:pPr>
      <w:r>
        <w:t>降噪</w:t>
      </w:r>
      <w:r>
        <w:rPr>
          <w:rFonts w:ascii="Arial" w:eastAsia="Arial"/>
        </w:rPr>
        <w:t>/</w:t>
      </w:r>
      <w:r>
        <w:t>隔音</w:t>
      </w:r>
    </w:p>
    <w:p>
      <w:pPr>
        <w:pStyle w:val="10"/>
        <w:numPr>
          <w:ilvl w:val="0"/>
          <w:numId w:val="1"/>
        </w:numPr>
        <w:tabs>
          <w:tab w:val="left" w:pos="369"/>
        </w:tabs>
        <w:spacing w:before="111" w:after="0" w:line="240" w:lineRule="auto"/>
        <w:ind w:left="368" w:right="0" w:hanging="269"/>
        <w:jc w:val="left"/>
        <w:rPr>
          <w:b/>
          <w:sz w:val="16"/>
        </w:rPr>
      </w:pPr>
      <w:r>
        <w:rPr>
          <w:b/>
          <w:sz w:val="16"/>
        </w:rPr>
        <w:t>测量、控制和实验室技术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8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13.1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测量技术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13.2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分析</w:t>
      </w:r>
      <w:r>
        <w:rPr>
          <w:rFonts w:ascii="Arial" w:hAnsi="Arial" w:eastAsia="Arial"/>
          <w:sz w:val="16"/>
        </w:rPr>
        <w:t>,</w:t>
      </w:r>
      <w:r>
        <w:rPr>
          <w:sz w:val="16"/>
        </w:rPr>
        <w:t>实验室技术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13.3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控制技术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9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13.4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水、污水、废物和空气处理技术</w:t>
      </w:r>
    </w:p>
    <w:p>
      <w:pPr>
        <w:pStyle w:val="2"/>
        <w:numPr>
          <w:ilvl w:val="0"/>
          <w:numId w:val="1"/>
        </w:numPr>
        <w:tabs>
          <w:tab w:val="left" w:pos="369"/>
        </w:tabs>
        <w:spacing w:before="108" w:after="0" w:line="240" w:lineRule="auto"/>
        <w:ind w:left="368" w:right="0" w:hanging="269"/>
        <w:jc w:val="left"/>
      </w:pPr>
      <w:r>
        <w:t>环境服务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88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14.1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处置服务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14.2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供水和污水处理服务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14.3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工程服务、环境管理和生态审计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14.4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融资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14.5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计算机硬件和软件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14.6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分析实验室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14.7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贸易协会和机构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14.8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援助组织</w:t>
      </w:r>
    </w:p>
    <w:p>
      <w:pPr>
        <w:pStyle w:val="2"/>
        <w:numPr>
          <w:ilvl w:val="0"/>
          <w:numId w:val="1"/>
        </w:numPr>
        <w:tabs>
          <w:tab w:val="left" w:pos="369"/>
        </w:tabs>
        <w:spacing w:before="108" w:after="0" w:line="240" w:lineRule="auto"/>
        <w:ind w:left="368" w:right="0" w:hanging="269"/>
        <w:jc w:val="left"/>
      </w:pPr>
      <w:r>
        <w:t>科、研、技术转让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91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15.1</w:t>
      </w:r>
      <w:r>
        <w:rPr>
          <w:rFonts w:ascii="Arial" w:hAnsi="Arial" w:eastAsia="Arial"/>
          <w:spacing w:val="-19"/>
          <w:sz w:val="16"/>
        </w:rPr>
        <w:t xml:space="preserve"> </w:t>
      </w:r>
      <w:r>
        <w:rPr>
          <w:sz w:val="16"/>
        </w:rPr>
        <w:t>研究机构</w:t>
      </w:r>
      <w:r>
        <w:rPr>
          <w:rFonts w:ascii="Arial" w:hAnsi="Arial" w:eastAsia="Arial"/>
          <w:sz w:val="16"/>
        </w:rPr>
        <w:t>/</w:t>
      </w:r>
      <w:r>
        <w:rPr>
          <w:sz w:val="16"/>
        </w:rPr>
        <w:t>大学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7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15.2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专业出版商、贸易文献和数据库</w:t>
      </w:r>
    </w:p>
    <w:p>
      <w:pPr>
        <w:pStyle w:val="10"/>
        <w:numPr>
          <w:ilvl w:val="0"/>
          <w:numId w:val="2"/>
        </w:numPr>
        <w:tabs>
          <w:tab w:val="left" w:pos="356"/>
        </w:tabs>
        <w:spacing w:before="16" w:after="0" w:line="240" w:lineRule="auto"/>
        <w:ind w:left="355" w:right="0" w:hanging="256"/>
        <w:jc w:val="left"/>
        <w:rPr>
          <w:sz w:val="16"/>
        </w:rPr>
      </w:pPr>
      <w:r>
        <w:rPr>
          <w:rFonts w:ascii="Arial" w:hAnsi="Arial" w:eastAsia="Arial"/>
          <w:sz w:val="16"/>
        </w:rPr>
        <w:t>15.3</w:t>
      </w:r>
      <w:r>
        <w:rPr>
          <w:rFonts w:ascii="Arial" w:hAnsi="Arial" w:eastAsia="Arial"/>
          <w:spacing w:val="-13"/>
          <w:sz w:val="16"/>
        </w:rPr>
        <w:t xml:space="preserve"> </w:t>
      </w:r>
      <w:r>
        <w:rPr>
          <w:sz w:val="16"/>
        </w:rPr>
        <w:t>教育与培训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460" w:right="420" w:bottom="280" w:left="540" w:header="720" w:footer="720" w:gutter="0"/>
          <w:cols w:equalWidth="0" w:num="3">
            <w:col w:w="2890" w:space="248"/>
            <w:col w:w="3214" w:space="876"/>
            <w:col w:w="3722"/>
          </w:cols>
        </w:sectPr>
      </w:pPr>
    </w:p>
    <w:p>
      <w:pPr>
        <w:pStyle w:val="3"/>
        <w:spacing w:before="0"/>
        <w:ind w:left="0" w:firstLine="0"/>
        <w:rPr>
          <w:sz w:val="20"/>
        </w:rPr>
      </w:pPr>
    </w:p>
    <w:p>
      <w:pPr>
        <w:pStyle w:val="3"/>
        <w:spacing w:before="3"/>
        <w:ind w:left="0" w:firstLine="0"/>
        <w:rPr>
          <w:sz w:val="21"/>
        </w:rPr>
      </w:pPr>
    </w:p>
    <w:p>
      <w:pPr>
        <w:pStyle w:val="10"/>
        <w:numPr>
          <w:ilvl w:val="0"/>
          <w:numId w:val="3"/>
        </w:numPr>
        <w:tabs>
          <w:tab w:val="left" w:pos="344"/>
          <w:tab w:val="left" w:pos="10031"/>
        </w:tabs>
        <w:spacing w:before="85" w:after="0" w:line="240" w:lineRule="auto"/>
        <w:ind w:left="343" w:right="0" w:hanging="244"/>
        <w:jc w:val="left"/>
        <w:rPr>
          <w:rFonts w:ascii="Arial" w:eastAsia="Arial"/>
          <w:sz w:val="14"/>
        </w:rPr>
      </w:pPr>
      <w:r>
        <w:rPr>
          <w:spacing w:val="-1"/>
          <w:sz w:val="16"/>
        </w:rPr>
        <w:t>若同时展示多种产品，请注明</w:t>
      </w:r>
      <w:r>
        <w:rPr>
          <w:sz w:val="16"/>
        </w:rPr>
        <w:t>展出</w:t>
      </w:r>
      <w:r>
        <w:rPr>
          <w:spacing w:val="-4"/>
          <w:sz w:val="16"/>
        </w:rPr>
        <w:t>重点</w:t>
      </w:r>
      <w:r>
        <w:rPr>
          <w:rFonts w:ascii="Arial" w:eastAsia="Arial"/>
          <w:sz w:val="16"/>
        </w:rPr>
        <w:t>:</w:t>
      </w:r>
      <w:r>
        <w:rPr>
          <w:rFonts w:ascii="Arial" w:eastAsia="Arial"/>
          <w:sz w:val="16"/>
          <w:u w:val="single"/>
        </w:rPr>
        <w:t xml:space="preserve"> </w:t>
      </w:r>
      <w:r>
        <w:rPr>
          <w:rFonts w:ascii="Arial" w:eastAsia="Arial"/>
          <w:sz w:val="16"/>
          <w:u w:val="single"/>
        </w:rPr>
        <w:tab/>
      </w:r>
    </w:p>
    <w:p>
      <w:pPr>
        <w:pStyle w:val="10"/>
        <w:numPr>
          <w:ilvl w:val="0"/>
          <w:numId w:val="3"/>
        </w:numPr>
        <w:tabs>
          <w:tab w:val="left" w:pos="338"/>
        </w:tabs>
        <w:spacing w:before="67" w:after="0" w:line="240" w:lineRule="auto"/>
        <w:ind w:left="337" w:right="0" w:hanging="238"/>
        <w:jc w:val="left"/>
        <w:rPr>
          <w:rFonts w:ascii="Arial" w:eastAsia="Arial"/>
          <w:sz w:val="13"/>
        </w:rPr>
      </w:pPr>
      <w:r>
        <w:rPr>
          <w:sz w:val="16"/>
        </w:rPr>
        <w:t>其它特殊要求（如果申请参展单位在本届展会中有其他特别要求，请写于以下方框内。主办方将尽量满足，但不对此做出任何承诺）</w:t>
      </w:r>
    </w:p>
    <w:p>
      <w:pPr>
        <w:pStyle w:val="3"/>
        <w:spacing w:before="0"/>
        <w:ind w:left="0" w:firstLine="0"/>
        <w:rPr>
          <w:sz w:val="20"/>
        </w:rPr>
      </w:pPr>
    </w:p>
    <w:p>
      <w:pPr>
        <w:pStyle w:val="3"/>
        <w:spacing w:before="3"/>
        <w:ind w:left="0" w:firstLine="0"/>
        <w:rPr>
          <w:sz w:val="11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116205</wp:posOffset>
                </wp:positionV>
                <wp:extent cx="6557010" cy="5080"/>
                <wp:effectExtent l="0" t="0" r="0" b="0"/>
                <wp:wrapTopAndBottom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010" cy="5080"/>
                          <a:chOff x="642" y="184"/>
                          <a:chExt cx="10326" cy="8"/>
                        </a:xfrm>
                      </wpg:grpSpPr>
                      <wps:wsp>
                        <wps:cNvPr id="1" name="直线 3"/>
                        <wps:cNvSpPr/>
                        <wps:spPr>
                          <a:xfrm>
                            <a:off x="642" y="188"/>
                            <a:ext cx="8458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SpPr/>
                        <wps:spPr>
                          <a:xfrm>
                            <a:off x="9103" y="188"/>
                            <a:ext cx="1865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2.05pt;margin-top:9.15pt;height:0.4pt;width:516.3pt;mso-position-horizontal-relative:page;mso-wrap-distance-bottom:0pt;mso-wrap-distance-top:0pt;z-index:-251657216;mso-width-relative:page;mso-height-relative:page;" coordorigin="642,184" coordsize="10326,8" o:gfxdata="UEsDBAoAAAAAAIdO4kAAAAAAAAAAAAAAAAAEAAAAZHJzL1BLAwQUAAAACACHTuJAkWkYKdkAAAAJ&#10;AQAADwAAAGRycy9kb3ducmV2LnhtbE2PQU/DMAyF70j8h8hI3FgSBmXrmk5oAk4TEhsS2s1rvbZa&#10;41RN1m7/nuwEN9vv6fl72fJsWzFQ7xvHBvREgSAuXNlwZeB7+/4wA+EDcomtYzJwIQ/L/PYmw7R0&#10;I3/RsAmViCHsUzRQh9ClUvqiJot+4jriqB1cbzHEta9k2eMYw20rH5VKpMWG44caO1rVVBw3J2vg&#10;Y8TxdarfhvXxsLrsts+fP2tNxtzfabUAEegc/sxwxY/okEemvTtx6UVrIHnS0RnvsymIq67myQuI&#10;fZzmGmSeyf8N8l9QSwMEFAAAAAgAh07iQGJxOX6DAgAABQcAAA4AAABkcnMvZTJvRG9jLnhtbO2V&#10;y47TMBSG90i8g+U9TdPblKjpLOhMNwhGGngA13ESS77Jdpt2z4Ile16DFSx4GjSvwbGTplCQqAaJ&#10;FV2kji/H5//+Y2dxvZcC7Zh1XKscp4MhRkxRXXBV5fjtm9tnc4ycJ6ogQiuW4wNz+Hr59MmiMRkb&#10;6VqLglkEQZTLGpPj2nuTJYmjNZPEDbRhCgZLbSXx8GqrpLCkgehSJKPhcJY02hbGasqcg95VO4i7&#10;iPaSgLosOWUrTbeSKd9GtUwQD5JczY3Dy5htWTLqX5elYx6JHINSH5+wCbQ34ZksFySrLDE1p10K&#10;5JIUzjRJwhVs2odaEU/Q1vJfQklOrXa69AOqZdIKiURARTo8Y7O2emuiliprKtNDB6POqD86LH21&#10;u7OIFzkeY6SIBMMfvrz79uE9GgU2jakymLK25t7c2a6jat+C3H1pZfgHIWgfqR56qmzvEYXO2XR6&#10;BdowojA2Hc476LQGZ8Ki2WSEEQyl80lrB61vuqXpcDyatQvnYSw57piExPo8GgOl6E583N/xua+J&#10;YRG7C+I7PmnP5+Onh89f0bjlE6f0cFzmgNNvyJxERiEkO9KZT6Zw4AKayKVXSDJjnV8zLVFo5Fhw&#10;FZIiGdm9dL6FcZwSuoVCTY4n0yugSQkczBIOBDSlAXOdquJapwUvbrkQYYWz1eaFsGhHwuGIvw7y&#10;T9PCJivi6nZeHGp9qhkpblSB/MFA2Si4LXBIQbICI8HgcgktSJRknnBxyUxQLxTYHAxtQYbWRhcH&#10;MGFrLK9qIJHGLDvTQ43+A/cBanc6WvdjqYadoUD+7P5zKOSuxs/sT+ez6X/7u0J5lP3xKoDbMd4O&#10;3U0ert8f32NJnb5ey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RaRgp2QAAAAkBAAAPAAAAAAAA&#10;AAEAIAAAACIAAABkcnMvZG93bnJldi54bWxQSwECFAAUAAAACACHTuJAYnE5foMCAAAFBwAADgAA&#10;AAAAAAABACAAAAAoAQAAZHJzL2Uyb0RvYy54bWxQSwUGAAAAAAYABgBZAQAAHQYAAAAA&#10;">
                <o:lock v:ext="edit" aspectratio="f"/>
                <v:line id="直线 3" o:spid="_x0000_s1026" o:spt="20" style="position:absolute;left:642;top:188;height:0;width:8458;" filled="f" stroked="t" coordsize="21600,21600" o:gfxdata="UEsDBAoAAAAAAIdO4kAAAAAAAAAAAAAAAAAEAAAAZHJzL1BLAwQUAAAACACHTuJAcGrQ6rwAAADa&#10;AAAADwAAAGRycy9kb3ducmV2LnhtbEVPS2vCQBC+F/oflil4q7vJoZTUVTAQrFSKTQU9jtkxCc3O&#10;huz6aH+9KxQ8DR/fcyazi+3EiQbfOtaQjBUI4sqZlmsNm+/i+RWED8gGO8ek4Zc8zKaPDxPMjDvz&#10;F53KUIsYwj5DDU0IfSalrxqy6MeuJ47cwQ0WQ4RDLc2A5xhuO5kq9SItthwbGuwpb6j6KY9WQ6lW&#10;y3ybfqh9+lfMkx0v1vy50Hr0lKg3EIEu4S7+d7+bOB9ur9yun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q0O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v:line id="直线 4" o:spid="_x0000_s1026" o:spt="20" style="position:absolute;left:9103;top:188;height:0;width:1865;" filled="f" stroked="t" coordsize="21600,21600" o:gfxdata="UEsDBAoAAAAAAIdO4kAAAAAAAAAAAAAAAAAEAAAAZHJzL1BLAwQUAAAACACHTuJAgLhOnb4AAADa&#10;AAAADwAAAGRycy9kb3ducmV2LnhtbEWPQWvCQBSE70L/w/IK3nQ3OUhJXYUGgi0tRWOhPT6zzyQ0&#10;+zZkt2r99a4geBxm5htmvjzZThxo8K1jDclUgSCunGm51vC1LSZPIHxANtg5Jg3/5GG5eBjNMTPu&#10;yBs6lKEWEcI+Qw1NCH0mpa8asuinrieO3t4NFkOUQy3NgMcIt51MlZpJiy3HhQZ7yhuqfss/q6FU&#10;H2/5d/qudum5eEl+eLXmz5XW48dEPYMIdAr38K39ajSkcL0Sb4BcX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hOnb4A&#10;AADaAAAADwAAAAAAAAABACAAAAAiAAAAZHJzL2Rvd25yZXYueG1sUEsBAhQAFAAAAAgAh07iQDMv&#10;BZ47AAAAOQAAABAAAAAAAAAAAQAgAAAADQEAAGRycy9zaGFwZXhtbC54bWxQSwUGAAAAAAYABgBb&#10;AQAAtwMAAAAA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3"/>
        <w:spacing w:before="0"/>
        <w:ind w:left="0" w:firstLine="0"/>
        <w:rPr>
          <w:sz w:val="20"/>
        </w:rPr>
      </w:pPr>
    </w:p>
    <w:p>
      <w:pPr>
        <w:pStyle w:val="3"/>
        <w:spacing w:before="0"/>
        <w:ind w:left="0" w:firstLine="0"/>
        <w:rPr>
          <w:sz w:val="20"/>
        </w:rPr>
      </w:pPr>
    </w:p>
    <w:p>
      <w:pPr>
        <w:pStyle w:val="3"/>
        <w:spacing w:before="0"/>
        <w:ind w:left="0" w:firstLine="0"/>
        <w:rPr>
          <w:sz w:val="20"/>
        </w:rPr>
      </w:pPr>
    </w:p>
    <w:p>
      <w:pPr>
        <w:pStyle w:val="3"/>
        <w:spacing w:before="9"/>
        <w:ind w:left="0" w:firstLine="0"/>
        <w:rPr>
          <w:sz w:val="29"/>
        </w:rPr>
      </w:pPr>
    </w:p>
    <w:sectPr>
      <w:type w:val="continuous"/>
      <w:pgSz w:w="11910" w:h="16840"/>
      <w:pgMar w:top="460" w:right="420" w:bottom="280" w:left="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FsPe0BAADVAwAADgAAAGRycy9lMm9Eb2MueG1srVNLbtswEN0X6B0I&#10;7mvJRlO4gukgqZGiQNEWSHMAmqIsAvxhSFtyD9DeoKtuuu+5fI4OKckJkk0W2UgznJk38x6Hq8ve&#10;aHKQEJSzjM5nJSXSClcru2P07vvNmyUlIXJbc+2sZPQoA71cv3616nwlF651upZAEMSGqvOMtjH6&#10;qiiCaKXhYea8tBhsHBge0YVdUQPvEN3oYlGW74rOQe3BCRkCnm6GIB0R4TmArmmUkBsn9kbaOKCC&#10;1DwipdAqH+g6T9s0UsSvTRNkJJpRZBrzF5ugvU3fYr3i1Q64b5UYR+DPGeERJ8OVxaZnqA2PnOxB&#10;PYEySoALrokz4UwxEMmKIIt5+Uib25Z7mbmg1MGfRQ8vByu+HL4BUTWjbymx3OCFn37/Ov35d/r7&#10;k8yTPJ0PFWbdesyL/bXrcWmm84CHiXXfgEl/5EMwjuIez+LKPhKRipaL5bLEkMDY5CB+cV/uIcSP&#10;0hmSDEYBby+Lyg+fQxxSp5TUzbobpXW+QW1Jx+j7i8VFLjhHEFzblCvzLowwidIwerJiv+1HnltX&#10;H5Emvg5s3zr4QUmHu8GoxadAif5kUfq0RpMBk7GdDG4FFjIaKRnMD3FYt70HtWvzAqaBgr/aRySQ&#10;eaUxht6oR3LwtrMy42amdXro56z717j+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DYAWw9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"/>
      <w:lvlJc w:val="left"/>
      <w:pPr>
        <w:ind w:left="355" w:hanging="255"/>
      </w:pPr>
      <w:rPr>
        <w:rFonts w:hint="default" w:ascii="Wingdings" w:hAnsi="Wingdings" w:eastAsia="Wingdings" w:cs="Wingdings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2" w:hanging="25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5" w:hanging="25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18" w:hanging="25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1" w:hanging="25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24" w:hanging="25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77" w:hanging="25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30" w:hanging="25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3" w:hanging="25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25" w:hanging="225"/>
        <w:jc w:val="left"/>
      </w:pPr>
      <w:rPr>
        <w:rFonts w:hint="default" w:ascii="Arial" w:hAnsi="Arial" w:eastAsia="Arial" w:cs="Arial"/>
        <w:b/>
        <w:bCs/>
        <w:spacing w:val="-1"/>
        <w:w w:val="97"/>
        <w:sz w:val="16"/>
        <w:szCs w:val="16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26" w:hanging="260"/>
        <w:jc w:val="left"/>
      </w:pPr>
      <w:rPr>
        <w:rFonts w:hint="default" w:ascii="Arial" w:hAnsi="Arial" w:eastAsia="Arial" w:cs="Arial"/>
        <w:spacing w:val="-2"/>
        <w:w w:val="99"/>
        <w:sz w:val="16"/>
        <w:szCs w:val="1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72" w:hanging="2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24" w:hanging="2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6" w:hanging="2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28" w:hanging="2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80" w:hanging="2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32" w:hanging="2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84" w:hanging="260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）"/>
      <w:lvlJc w:val="left"/>
      <w:pPr>
        <w:ind w:left="343" w:hanging="243"/>
        <w:jc w:val="left"/>
      </w:pPr>
      <w:rPr>
        <w:rFonts w:hint="default"/>
        <w:spacing w:val="-3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00" w:hanging="24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60" w:hanging="24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21" w:hanging="24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81" w:hanging="24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42" w:hanging="24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02" w:hanging="24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63" w:hanging="24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23" w:hanging="24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45A07"/>
    <w:rsid w:val="77FE2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8"/>
      <w:ind w:left="368" w:hanging="269"/>
      <w:outlineLvl w:val="1"/>
    </w:pPr>
    <w:rPr>
      <w:rFonts w:ascii="宋体" w:hAnsi="宋体" w:eastAsia="宋体" w:cs="宋体"/>
      <w:b/>
      <w:bCs/>
      <w:sz w:val="16"/>
      <w:szCs w:val="16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"/>
      <w:ind w:left="355" w:hanging="256"/>
    </w:pPr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6"/>
      <w:ind w:left="355" w:hanging="256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2022-02-24T01:09:00Z</dcterms:created>
  <dc:creator>Administrator</dc:creator>
  <cp:lastModifiedBy>LSQ</cp:lastModifiedBy>
  <dcterms:modified xsi:type="dcterms:W3CDTF">2022-02-25T00:54:58Z</dcterms:modified>
  <dc:title>IE  SZ 2022参展合同.docx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C6EA87A4C1D3406090B618CB42F075E5</vt:lpwstr>
  </property>
</Properties>
</file>